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7956B">
      <w:pPr>
        <w:widowControl/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4652D4FC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3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0833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593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C67FC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夏媛媛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4DDD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844B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3340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1C4A7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讲师</w:t>
            </w:r>
          </w:p>
        </w:tc>
      </w:tr>
      <w:tr w14:paraId="4228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E174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3E5BF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新实验楼815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91F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FE69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19730364079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764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EBD79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xiayuanyuan666@163.com</w:t>
            </w:r>
          </w:p>
        </w:tc>
      </w:tr>
      <w:tr w14:paraId="43F9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0D37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53FE2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新能源材料应用技术/生物质功能化利用、储能材料研究</w:t>
            </w:r>
          </w:p>
        </w:tc>
      </w:tr>
      <w:tr w14:paraId="7121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DF7D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FCC27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给排水工程，环境工程技术，环境检测技术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E43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18A12">
            <w:pPr>
              <w:spacing w:line="360" w:lineRule="auto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1326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7" w:hRule="atLeast"/>
          <w:jc w:val="center"/>
        </w:trPr>
        <w:tc>
          <w:tcPr>
            <w:tcW w:w="9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A44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14:paraId="4ED3C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工作经历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 w14:paraId="4A9AC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2012.09~2016.06 齐鲁工业大学轻化工程专业，获工学学士学位；</w:t>
            </w:r>
          </w:p>
          <w:p w14:paraId="13C27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2016.09~2019.06 齐鲁工业大学制浆造纸工程专业，获工学硕士学位；</w:t>
            </w:r>
          </w:p>
          <w:p w14:paraId="3AC16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2019.09~2023.12 陕西科技大学轻工技术与工程专业，获工学博士学位；</w:t>
            </w:r>
          </w:p>
          <w:p w14:paraId="3195D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2022.09~2023.09 新不伦瑞克大学（UNB）化学工程学院，联合培养博士；</w:t>
            </w:r>
          </w:p>
          <w:p w14:paraId="6A33C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2024.10~至今   浙江广厦建设职业技术大学环境能源学院，从事能源专业教学与科研工作。</w:t>
            </w:r>
          </w:p>
          <w:p w14:paraId="30E03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教学科研成果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 w14:paraId="561B2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[1] 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 xml:space="preserve">, X. Li, J. Zhuang, et al. Cellulose microspheres enhanced polyvinyl alcohol separator for high-performance lithium-ion batteries[J]. Carbohydrate Polymers, 2023, 300: 120231. </w:t>
            </w:r>
          </w:p>
          <w:p w14:paraId="2DAD9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[2]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>, X. Li, J. Zhuang, et al. Exploitation of function groups in cellulose materials for lithium-ion batteries applications[J]. Carbohydrate Polymers, 2024, 325: 121570.</w:t>
            </w:r>
          </w:p>
          <w:p w14:paraId="69F0B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[3]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 xml:space="preserve">, X. Li, Y. Yuan, et al. Preparation of cellulose beads with high homogeneity, low crystallinity, and tunable internal structure[J]. Cellulose, 2022, 29: 1473-1485. </w:t>
            </w:r>
          </w:p>
          <w:p w14:paraId="2D238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[4]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 xml:space="preserve">, G. Yang, J. Chen, et al. Cellulose Nanocrystal Assisted Dual-modification of Starch and Its Subsequent Polyvinyl Alcohol/Glycerol Blends[J]. Bioresources, 2019, 14: 7041-7055. </w:t>
            </w:r>
          </w:p>
          <w:p w14:paraId="1E9A9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[5] Z. Lin,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 xml:space="preserve">, G. Yang, et al. Improved film formability of oxidized starch-based blends through controlled modification with cellulose nanocrystals[J]. Industrial crops and products, 2019, 140: 111665. </w:t>
            </w:r>
          </w:p>
          <w:p w14:paraId="41645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[6] G. Yang,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 xml:space="preserve">, Z. Lin, et al. Physicochemical impact of cellulose nanocrystal on oxidation of starch and starch based composite films[J]. International Journal of Biological Macromolecules, 2021, 184: 42-49. </w:t>
            </w:r>
          </w:p>
          <w:p w14:paraId="32A4F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[7] W. Wang, X. Zhao,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 xml:space="preserve">, et al. Sugarcane-derived Bio‐Amine‐Responsive Colorimetric Films for real-time visual monitoring of the seafood freshness[J]. Industrial crops and products, 2023, 199: 116784. </w:t>
            </w:r>
          </w:p>
          <w:p w14:paraId="10243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[8] J. Zhuang, C. Liu, </w:t>
            </w:r>
            <w:r>
              <w:rPr>
                <w:rFonts w:hint="eastAsia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>, et al. Synergistic effects of peracetic acid and oxalic acid on structural transformation of eucalyptus and its conversion [J]. Industrial crops and products, 2022, 188: 115530.</w:t>
            </w:r>
          </w:p>
          <w:p w14:paraId="41D6E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[9] A. Saini, D. Sharma, 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 xml:space="preserve">, et al. Layer-by-layer assembly of cationic guar gum, cellulose nanocrystals and hydroxypropyl methylcellulose based multilayered composite films[J]. Cellulose, 2021, 28(13): 8445-8457. </w:t>
            </w:r>
          </w:p>
          <w:p w14:paraId="53F77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[10] C. Hu, J. Zhuang, </w:t>
            </w:r>
            <w:r>
              <w:rPr>
                <w:rFonts w:hint="default" w:ascii="Times New Roman Bold" w:hAnsi="Times New Roman Bold" w:cs="Times New Roman Bold"/>
                <w:b/>
                <w:bCs/>
                <w:sz w:val="24"/>
              </w:rPr>
              <w:t>Y. Xia</w:t>
            </w:r>
            <w:r>
              <w:rPr>
                <w:rFonts w:hint="eastAsia"/>
                <w:sz w:val="24"/>
              </w:rPr>
              <w:t>, J. Zhang, X. Zhang, Facile fabrication of sulfonated bacterial cellulose-silane composite aerogels via in suit polymerization for enhanced oil/water separation performance, Int. J. Biol. Macromol</w:t>
            </w:r>
            <w:r>
              <w:rPr>
                <w:rFonts w:hint="eastAsia"/>
                <w:sz w:val="24"/>
                <w:lang w:val="en-US" w:eastAsia="zh-CN"/>
              </w:rPr>
              <w:t>, 2024,</w:t>
            </w:r>
            <w:r>
              <w:rPr>
                <w:rFonts w:hint="eastAsia"/>
                <w:sz w:val="24"/>
              </w:rPr>
              <w:t xml:space="preserve"> 283</w:t>
            </w:r>
            <w:r>
              <w:rPr>
                <w:rFonts w:hint="eastAsia"/>
                <w:sz w:val="24"/>
                <w:lang w:val="en-US" w:eastAsia="zh-CN"/>
              </w:rPr>
              <w:t xml:space="preserve">, </w:t>
            </w:r>
            <w:r>
              <w:rPr>
                <w:rFonts w:hint="eastAsia"/>
                <w:sz w:val="24"/>
              </w:rPr>
              <w:t>137650</w:t>
            </w:r>
            <w:r>
              <w:rPr>
                <w:rFonts w:hint="eastAsia"/>
                <w:sz w:val="24"/>
                <w:lang w:val="en-US" w:eastAsia="zh-CN"/>
              </w:rPr>
              <w:t>.</w:t>
            </w:r>
          </w:p>
          <w:p w14:paraId="0AD8B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[11] </w:t>
            </w:r>
            <w:r>
              <w:rPr>
                <w:rFonts w:hint="eastAsia"/>
                <w:b/>
                <w:bCs/>
                <w:sz w:val="24"/>
              </w:rPr>
              <w:t>夏媛媛</w:t>
            </w:r>
            <w:r>
              <w:rPr>
                <w:rFonts w:hint="eastAsia"/>
                <w:sz w:val="24"/>
              </w:rPr>
              <w:t>, 林兆云, 杨桂花,等. 纳米纤维素催化氧化玉米淀粉基复合膜的制备[J]. 高分子材料科学与工程, 2019, 35(12): 121-128.</w:t>
            </w:r>
          </w:p>
          <w:p w14:paraId="53E9E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[12] </w:t>
            </w:r>
            <w:r>
              <w:rPr>
                <w:rFonts w:hint="eastAsia"/>
                <w:b/>
                <w:bCs/>
                <w:sz w:val="24"/>
              </w:rPr>
              <w:t>夏媛媛</w:t>
            </w:r>
            <w:r>
              <w:rPr>
                <w:rFonts w:hint="eastAsia"/>
                <w:sz w:val="24"/>
              </w:rPr>
              <w:t>, 林兆云, 杨桂花, 等. 纳米微晶纤维素-NaClO氧化淀粉的制备及其对纸张性能的影响[J].中国造纸, 2018, 37(11):12-18.</w:t>
            </w:r>
          </w:p>
          <w:p w14:paraId="236A1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[13] </w:t>
            </w:r>
            <w:r>
              <w:rPr>
                <w:rFonts w:hint="eastAsia"/>
                <w:b/>
                <w:bCs/>
                <w:sz w:val="24"/>
              </w:rPr>
              <w:t>夏媛媛</w:t>
            </w:r>
            <w:r>
              <w:rPr>
                <w:rFonts w:hint="eastAsia"/>
                <w:sz w:val="24"/>
              </w:rPr>
              <w:t>, 杨桂花, 林兆云, 等. 淀粉氧化技术的研究进展及其应用[J]. 中华纸业, 2018 ,16(39): 12-18.</w:t>
            </w:r>
          </w:p>
          <w:p w14:paraId="26D11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[14] 林兆云, </w:t>
            </w:r>
            <w:r>
              <w:rPr>
                <w:rFonts w:hint="eastAsia"/>
                <w:b/>
                <w:bCs/>
                <w:sz w:val="24"/>
              </w:rPr>
              <w:t>夏媛媛</w:t>
            </w:r>
            <w:r>
              <w:rPr>
                <w:rFonts w:hint="eastAsia"/>
                <w:sz w:val="24"/>
              </w:rPr>
              <w:t>, 杨桂花, 等. NaClO/CNC氧化淀粉的制备及用于PVA/GL复合膜的增强[J]. 中国造纸, 2019, 35(8): 20-26.</w:t>
            </w:r>
          </w:p>
          <w:p w14:paraId="7F4F8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发表的专利：</w:t>
            </w:r>
          </w:p>
          <w:p w14:paraId="55740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[1] 李新平, </w:t>
            </w:r>
            <w:r>
              <w:rPr>
                <w:rFonts w:hint="eastAsia"/>
                <w:b/>
                <w:bCs/>
                <w:sz w:val="24"/>
              </w:rPr>
              <w:t>夏媛媛</w:t>
            </w:r>
            <w:r>
              <w:rPr>
                <w:rFonts w:hint="eastAsia"/>
                <w:sz w:val="24"/>
              </w:rPr>
              <w:t>, 王文亮, 等．一种再生纤维素微球/固体电解质的制备方法[P]. 2023-03-31, ZL202110864967.4.</w:t>
            </w:r>
          </w:p>
          <w:p w14:paraId="24220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[2] 林兆云, 杨桂花, 陈嘉川, </w:t>
            </w:r>
            <w:r>
              <w:rPr>
                <w:rFonts w:hint="eastAsia"/>
                <w:b/>
                <w:bCs/>
                <w:sz w:val="24"/>
              </w:rPr>
              <w:t>夏媛媛</w:t>
            </w:r>
            <w:r>
              <w:rPr>
                <w:rFonts w:hint="eastAsia"/>
                <w:sz w:val="24"/>
              </w:rPr>
              <w:t>. 一种高取代度醚化玉米淀粉的制备方法[P]. 2020-04-28, ZL201810331795.2.</w:t>
            </w:r>
          </w:p>
        </w:tc>
      </w:tr>
      <w:tr w14:paraId="18C1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6E29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F1B2C"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多孔纤维素材料的多尺度构筑及其在锂电池中的增效机制研究</w:t>
            </w:r>
          </w:p>
        </w:tc>
      </w:tr>
      <w:tr w14:paraId="2116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3D0D6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E9B8">
            <w:pPr>
              <w:rPr>
                <w:rFonts w:hint="default" w:eastAsia="仿宋_GB231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互联网加大学生创新创业大赛</w:t>
            </w:r>
          </w:p>
        </w:tc>
      </w:tr>
      <w:tr w14:paraId="3CF51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FEF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F1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  <w:r>
              <w:rPr>
                <w:rFonts w:hint="eastAsia"/>
                <w:sz w:val="24"/>
                <w:lang w:val="en-US" w:eastAsia="zh-CN"/>
              </w:rPr>
              <w:t>方面：带领学生</w:t>
            </w:r>
            <w:r>
              <w:rPr>
                <w:rFonts w:hint="eastAsia"/>
                <w:sz w:val="24"/>
              </w:rPr>
              <w:t>夯实专业基础，合理安排课程学习，关注行业前沿，</w:t>
            </w:r>
            <w:r>
              <w:rPr>
                <w:rFonts w:hint="eastAsia"/>
                <w:sz w:val="24"/>
                <w:lang w:val="en-US" w:eastAsia="zh-CN"/>
              </w:rPr>
              <w:t>学习</w:t>
            </w:r>
            <w:r>
              <w:rPr>
                <w:rFonts w:hint="eastAsia"/>
                <w:sz w:val="24"/>
              </w:rPr>
              <w:t>相关技能。</w:t>
            </w:r>
          </w:p>
          <w:p w14:paraId="6C692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科研与创新</w:t>
            </w:r>
            <w:r>
              <w:rPr>
                <w:rFonts w:hint="eastAsia"/>
                <w:sz w:val="24"/>
                <w:lang w:val="en-US" w:eastAsia="zh-CN"/>
              </w:rPr>
              <w:t>方面：带领学生</w:t>
            </w:r>
            <w:r>
              <w:rPr>
                <w:rFonts w:hint="eastAsia"/>
                <w:sz w:val="24"/>
              </w:rPr>
              <w:t>参与大学生创新创业项目（如“互联网+”大赛、大创项目）。生活与成长</w:t>
            </w:r>
          </w:p>
          <w:p w14:paraId="64D98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生活方面：引导学生</w:t>
            </w:r>
            <w:r>
              <w:rPr>
                <w:rFonts w:hint="eastAsia"/>
                <w:sz w:val="24"/>
              </w:rPr>
              <w:t>平衡学习、社交和休闲。规律作息，保持运动，提高身体素质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并时刻关注学生心理和身体健康状况。</w:t>
            </w:r>
          </w:p>
          <w:p w14:paraId="10347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职业与未来规划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</w:rPr>
              <w:t>关注</w:t>
            </w:r>
            <w:r>
              <w:rPr>
                <w:rFonts w:hint="eastAsia"/>
                <w:sz w:val="24"/>
                <w:lang w:val="en-US" w:eastAsia="zh-CN"/>
              </w:rPr>
              <w:t>学生</w:t>
            </w:r>
            <w:r>
              <w:rPr>
                <w:rFonts w:hint="eastAsia"/>
                <w:sz w:val="24"/>
              </w:rPr>
              <w:t>实习、求职、考研或出国深造信息，</w:t>
            </w:r>
            <w:r>
              <w:rPr>
                <w:rFonts w:hint="eastAsia"/>
                <w:sz w:val="24"/>
                <w:lang w:val="en-US" w:eastAsia="zh-CN"/>
              </w:rPr>
              <w:t>协助学生</w:t>
            </w:r>
            <w:r>
              <w:rPr>
                <w:rFonts w:hint="eastAsia"/>
                <w:sz w:val="24"/>
              </w:rPr>
              <w:t>规划</w:t>
            </w:r>
            <w:r>
              <w:rPr>
                <w:rFonts w:hint="eastAsia"/>
                <w:sz w:val="24"/>
                <w:lang w:val="en-US" w:eastAsia="zh-CN"/>
              </w:rPr>
              <w:t>未来</w:t>
            </w:r>
            <w:r>
              <w:rPr>
                <w:rFonts w:hint="eastAsia"/>
                <w:sz w:val="24"/>
              </w:rPr>
              <w:t>。</w:t>
            </w:r>
          </w:p>
        </w:tc>
      </w:tr>
    </w:tbl>
    <w:p w14:paraId="060D4832">
      <w:pPr>
        <w:ind w:left="840" w:hanging="840" w:hangingChars="350"/>
        <w:rPr>
          <w:sz w:val="24"/>
        </w:rPr>
      </w:pPr>
      <w:r>
        <w:rPr>
          <w:rFonts w:hint="eastAsia"/>
          <w:sz w:val="24"/>
        </w:rPr>
        <w:t>注：该表由导师填写好后，由学院统一向全院学生公布。</w:t>
      </w:r>
    </w:p>
    <w:p w14:paraId="4E4272DF">
      <w:pPr>
        <w:jc w:val="left"/>
        <w:rPr>
          <w:rFonts w:hint="eastAsia"/>
          <w:b/>
          <w:bCs/>
          <w:sz w:val="28"/>
          <w:szCs w:val="28"/>
        </w:rPr>
      </w:pPr>
    </w:p>
    <w:p w14:paraId="1DE7893C">
      <w:pPr>
        <w:jc w:val="left"/>
        <w:rPr>
          <w:rFonts w:hint="eastAsia"/>
          <w:b/>
          <w:bCs/>
          <w:sz w:val="28"/>
          <w:szCs w:val="28"/>
        </w:rPr>
      </w:pPr>
    </w:p>
    <w:p w14:paraId="0D070059">
      <w:pPr>
        <w:ind w:left="840" w:hanging="840" w:hangingChars="350"/>
        <w:rPr>
          <w:rFonts w:hint="eastAsia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Bold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39"/>
    <w:rsid w:val="002046D0"/>
    <w:rsid w:val="00233839"/>
    <w:rsid w:val="00273A31"/>
    <w:rsid w:val="00501501"/>
    <w:rsid w:val="006200A4"/>
    <w:rsid w:val="00671266"/>
    <w:rsid w:val="006F07E5"/>
    <w:rsid w:val="00A40ED6"/>
    <w:rsid w:val="00A55F49"/>
    <w:rsid w:val="00C229DA"/>
    <w:rsid w:val="00C701CF"/>
    <w:rsid w:val="00FB6CF3"/>
    <w:rsid w:val="00FC50F5"/>
    <w:rsid w:val="16012532"/>
    <w:rsid w:val="16F06DE2"/>
    <w:rsid w:val="1F6179DA"/>
    <w:rsid w:val="217B67DE"/>
    <w:rsid w:val="29F658B3"/>
    <w:rsid w:val="2DBB9027"/>
    <w:rsid w:val="32B920CD"/>
    <w:rsid w:val="37B79D31"/>
    <w:rsid w:val="3C11D0A9"/>
    <w:rsid w:val="43D7533F"/>
    <w:rsid w:val="50BE7CD5"/>
    <w:rsid w:val="5BF062C8"/>
    <w:rsid w:val="74F3E972"/>
    <w:rsid w:val="77CF444C"/>
    <w:rsid w:val="7B5F0106"/>
    <w:rsid w:val="7BF11693"/>
    <w:rsid w:val="7DFB3861"/>
    <w:rsid w:val="7EBCEF2D"/>
    <w:rsid w:val="7EFAD670"/>
    <w:rsid w:val="7FD3CBE5"/>
    <w:rsid w:val="7FFF912A"/>
    <w:rsid w:val="976F0D37"/>
    <w:rsid w:val="ABDD5B24"/>
    <w:rsid w:val="BAFB3CEF"/>
    <w:rsid w:val="BDEF7B72"/>
    <w:rsid w:val="BFFF4F04"/>
    <w:rsid w:val="DEE715AC"/>
    <w:rsid w:val="EAD210A1"/>
    <w:rsid w:val="F37D8455"/>
    <w:rsid w:val="F5BC0D34"/>
    <w:rsid w:val="FABD92C5"/>
    <w:rsid w:val="FBF3D01A"/>
    <w:rsid w:val="FEFF6FA9"/>
    <w:rsid w:val="FFB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paragraph" w:customStyle="1" w:styleId="5">
    <w:name w:val="列出段落1"/>
    <w:basedOn w:val="1"/>
    <w:unhideWhenUsed/>
    <w:qFormat/>
    <w:uiPriority w:val="99"/>
    <w:pPr>
      <w:ind w:firstLine="420" w:firstLineChars="200"/>
    </w:pPr>
    <w:rPr>
      <w:rFonts w:ascii="Calibri" w:hAnsi="Calibri" w:eastAsia="宋体"/>
      <w:sz w:val="21"/>
    </w:rPr>
  </w:style>
  <w:style w:type="character" w:customStyle="1" w:styleId="6">
    <w:name w:val="批注框文本 字符"/>
    <w:basedOn w:val="4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1173</Words>
  <Characters>2899</Characters>
  <Lines>1</Lines>
  <Paragraphs>1</Paragraphs>
  <TotalTime>53</TotalTime>
  <ScaleCrop>false</ScaleCrop>
  <LinksUpToDate>false</LinksUpToDate>
  <CharactersWithSpaces>3233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2025-01-13T17:48:00Z</dcterms:created>
  <dc:creator>Administrator</dc:creator>
  <cp:lastModifiedBy>包包</cp:lastModifiedBy>
  <cp:lastPrinted>2025-01-13T17:54:00Z</cp:lastPrinted>
  <dcterms:modified xsi:type="dcterms:W3CDTF">2025-03-03T10:50:29Z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eyJoZGlkIjoiYWM1ZjQ2YzhiMWRmYzVmMzA3NTMzMTM4ZjYwYmE1OTgiLCJ1c2VySWQiOiIzNzQ3NTkwMTcifQ==</vt:lpwstr>
  </property>
  <property fmtid="{D5CDD505-2E9C-101B-9397-08002B2CF9AE}" pid="4" name="ICV">
    <vt:lpwstr>C20C2130B3C7BD47357BB66749BC3826_43</vt:lpwstr>
  </property>
</Properties>
</file>