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00641">
      <w:pPr>
        <w:jc w:val="left"/>
        <w:rPr>
          <w:rFonts w:eastAsia="宋体"/>
          <w:b/>
          <w:bCs/>
          <w:sz w:val="28"/>
          <w:szCs w:val="28"/>
        </w:rPr>
      </w:pPr>
      <w:r>
        <w:rPr>
          <w:rFonts w:hint="eastAsia"/>
          <w:b/>
          <w:bCs/>
          <w:sz w:val="28"/>
          <w:szCs w:val="28"/>
        </w:rPr>
        <w:t>附表</w:t>
      </w:r>
      <w:r>
        <w:rPr>
          <w:b/>
          <w:bCs/>
          <w:sz w:val="28"/>
          <w:szCs w:val="28"/>
        </w:rPr>
        <w:t>1</w:t>
      </w:r>
    </w:p>
    <w:p w14:paraId="776CAF45">
      <w:pPr>
        <w:jc w:val="center"/>
        <w:rPr>
          <w:b/>
          <w:bCs/>
          <w:sz w:val="44"/>
          <w:szCs w:val="44"/>
        </w:rPr>
      </w:pPr>
      <w:r>
        <w:rPr>
          <w:rFonts w:hint="eastAsia"/>
          <w:b/>
          <w:bCs/>
          <w:sz w:val="44"/>
          <w:szCs w:val="44"/>
        </w:rPr>
        <w:t>环境能源学院导师制导师报名表（</w:t>
      </w:r>
      <w:r>
        <w:rPr>
          <w:b/>
          <w:bCs/>
          <w:sz w:val="44"/>
          <w:szCs w:val="44"/>
        </w:rPr>
        <w:t>2025</w:t>
      </w:r>
      <w:r>
        <w:rPr>
          <w:rFonts w:hint="eastAsia"/>
          <w:b/>
          <w:bCs/>
          <w:sz w:val="44"/>
          <w:szCs w:val="44"/>
        </w:rPr>
        <w:t>）</w:t>
      </w:r>
    </w:p>
    <w:tbl>
      <w:tblPr>
        <w:tblStyle w:val="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35"/>
        <w:gridCol w:w="1407"/>
        <w:gridCol w:w="1407"/>
        <w:gridCol w:w="1581"/>
        <w:gridCol w:w="13"/>
        <w:gridCol w:w="1383"/>
        <w:gridCol w:w="1672"/>
      </w:tblGrid>
      <w:tr w14:paraId="5210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79" w:type="dxa"/>
            <w:gridSpan w:val="2"/>
            <w:tcBorders>
              <w:top w:val="single" w:color="auto" w:sz="4" w:space="0"/>
              <w:left w:val="single" w:color="auto" w:sz="4" w:space="0"/>
              <w:bottom w:val="single" w:color="auto" w:sz="4" w:space="0"/>
              <w:right w:val="single" w:color="auto" w:sz="4" w:space="0"/>
            </w:tcBorders>
            <w:vAlign w:val="center"/>
          </w:tcPr>
          <w:p w14:paraId="1F8CEB18">
            <w:pPr>
              <w:spacing w:line="360" w:lineRule="auto"/>
              <w:jc w:val="center"/>
              <w:rPr>
                <w:sz w:val="24"/>
              </w:rPr>
            </w:pPr>
            <w:r>
              <w:rPr>
                <w:rFonts w:hint="eastAsia"/>
                <w:sz w:val="24"/>
              </w:rPr>
              <w:t>姓名</w:t>
            </w:r>
          </w:p>
        </w:tc>
        <w:tc>
          <w:tcPr>
            <w:tcW w:w="1406" w:type="dxa"/>
            <w:tcBorders>
              <w:top w:val="single" w:color="auto" w:sz="4" w:space="0"/>
              <w:left w:val="single" w:color="auto" w:sz="4" w:space="0"/>
              <w:bottom w:val="single" w:color="auto" w:sz="4" w:space="0"/>
              <w:right w:val="single" w:color="auto" w:sz="4" w:space="0"/>
            </w:tcBorders>
            <w:vAlign w:val="center"/>
          </w:tcPr>
          <w:p w14:paraId="7C23C976">
            <w:pPr>
              <w:spacing w:line="360" w:lineRule="auto"/>
              <w:jc w:val="center"/>
              <w:rPr>
                <w:rFonts w:hint="eastAsia" w:eastAsia="仿宋_GB2312"/>
                <w:sz w:val="24"/>
                <w:lang w:val="en-US" w:eastAsia="zh-CN"/>
              </w:rPr>
            </w:pPr>
            <w:r>
              <w:rPr>
                <w:rFonts w:hint="eastAsia"/>
                <w:sz w:val="24"/>
                <w:lang w:val="en-US" w:eastAsia="zh-CN"/>
              </w:rPr>
              <w:t>江河</w:t>
            </w:r>
          </w:p>
        </w:tc>
        <w:tc>
          <w:tcPr>
            <w:tcW w:w="1406" w:type="dxa"/>
            <w:tcBorders>
              <w:top w:val="single" w:color="auto" w:sz="4" w:space="0"/>
              <w:left w:val="single" w:color="auto" w:sz="4" w:space="0"/>
              <w:bottom w:val="single" w:color="auto" w:sz="4" w:space="0"/>
              <w:right w:val="single" w:color="auto" w:sz="4" w:space="0"/>
            </w:tcBorders>
            <w:vAlign w:val="center"/>
          </w:tcPr>
          <w:p w14:paraId="03F4BA98">
            <w:pPr>
              <w:spacing w:line="360" w:lineRule="auto"/>
              <w:jc w:val="center"/>
              <w:rPr>
                <w:sz w:val="24"/>
              </w:rPr>
            </w:pPr>
            <w:r>
              <w:rPr>
                <w:rFonts w:hint="eastAsia"/>
                <w:sz w:val="24"/>
              </w:rPr>
              <w:t>性别</w:t>
            </w:r>
          </w:p>
        </w:tc>
        <w:tc>
          <w:tcPr>
            <w:tcW w:w="1593" w:type="dxa"/>
            <w:gridSpan w:val="2"/>
            <w:tcBorders>
              <w:top w:val="single" w:color="auto" w:sz="4" w:space="0"/>
              <w:left w:val="single" w:color="auto" w:sz="4" w:space="0"/>
              <w:bottom w:val="single" w:color="auto" w:sz="4" w:space="0"/>
              <w:right w:val="single" w:color="auto" w:sz="4" w:space="0"/>
            </w:tcBorders>
            <w:vAlign w:val="center"/>
          </w:tcPr>
          <w:p w14:paraId="5EA6FD1C">
            <w:pPr>
              <w:spacing w:line="360" w:lineRule="auto"/>
              <w:jc w:val="center"/>
              <w:rPr>
                <w:rFonts w:hint="eastAsia" w:eastAsia="仿宋_GB2312"/>
                <w:sz w:val="24"/>
                <w:lang w:val="en-US" w:eastAsia="zh-CN"/>
              </w:rPr>
            </w:pPr>
            <w:r>
              <w:rPr>
                <w:rFonts w:hint="eastAsia"/>
                <w:sz w:val="24"/>
                <w:lang w:val="en-US" w:eastAsia="zh-CN"/>
              </w:rPr>
              <w:t>女</w:t>
            </w:r>
          </w:p>
        </w:tc>
        <w:tc>
          <w:tcPr>
            <w:tcW w:w="1382" w:type="dxa"/>
            <w:tcBorders>
              <w:top w:val="single" w:color="auto" w:sz="4" w:space="0"/>
              <w:left w:val="single" w:color="auto" w:sz="4" w:space="0"/>
              <w:bottom w:val="single" w:color="auto" w:sz="4" w:space="0"/>
              <w:right w:val="single" w:color="auto" w:sz="4" w:space="0"/>
            </w:tcBorders>
            <w:vAlign w:val="center"/>
          </w:tcPr>
          <w:p w14:paraId="4748F53C">
            <w:pPr>
              <w:spacing w:line="360" w:lineRule="auto"/>
              <w:jc w:val="center"/>
              <w:rPr>
                <w:sz w:val="24"/>
              </w:rPr>
            </w:pPr>
            <w:r>
              <w:rPr>
                <w:rFonts w:hint="eastAsia"/>
                <w:sz w:val="24"/>
              </w:rPr>
              <w:t>职称</w:t>
            </w:r>
          </w:p>
        </w:tc>
        <w:tc>
          <w:tcPr>
            <w:tcW w:w="1672" w:type="dxa"/>
            <w:tcBorders>
              <w:top w:val="single" w:color="auto" w:sz="4" w:space="0"/>
              <w:left w:val="single" w:color="auto" w:sz="4" w:space="0"/>
              <w:bottom w:val="single" w:color="auto" w:sz="4" w:space="0"/>
              <w:right w:val="single" w:color="auto" w:sz="4" w:space="0"/>
            </w:tcBorders>
            <w:vAlign w:val="center"/>
          </w:tcPr>
          <w:p w14:paraId="54F4E55F">
            <w:pPr>
              <w:spacing w:line="360" w:lineRule="auto"/>
              <w:jc w:val="center"/>
              <w:rPr>
                <w:rFonts w:hint="eastAsia" w:eastAsia="仿宋_GB2312"/>
                <w:sz w:val="24"/>
                <w:lang w:val="en-US" w:eastAsia="zh-CN"/>
              </w:rPr>
            </w:pPr>
            <w:r>
              <w:rPr>
                <w:rFonts w:hint="eastAsia"/>
                <w:sz w:val="24"/>
                <w:lang w:val="en-US" w:eastAsia="zh-CN"/>
              </w:rPr>
              <w:t>讲师</w:t>
            </w:r>
          </w:p>
        </w:tc>
      </w:tr>
      <w:tr w14:paraId="2E2C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78" w:type="dxa"/>
            <w:gridSpan w:val="2"/>
            <w:tcBorders>
              <w:top w:val="single" w:color="auto" w:sz="4" w:space="0"/>
              <w:left w:val="single" w:color="auto" w:sz="4" w:space="0"/>
              <w:bottom w:val="single" w:color="auto" w:sz="4" w:space="0"/>
              <w:right w:val="single" w:color="auto" w:sz="4" w:space="0"/>
            </w:tcBorders>
            <w:vAlign w:val="center"/>
          </w:tcPr>
          <w:p w14:paraId="59624D44">
            <w:pPr>
              <w:spacing w:line="360" w:lineRule="auto"/>
              <w:jc w:val="center"/>
              <w:rPr>
                <w:sz w:val="24"/>
              </w:rPr>
            </w:pPr>
            <w:r>
              <w:rPr>
                <w:rFonts w:hint="eastAsia"/>
                <w:sz w:val="24"/>
              </w:rPr>
              <w:t>办公室</w:t>
            </w:r>
          </w:p>
        </w:tc>
        <w:tc>
          <w:tcPr>
            <w:tcW w:w="1407" w:type="dxa"/>
            <w:tcBorders>
              <w:top w:val="single" w:color="auto" w:sz="4" w:space="0"/>
              <w:left w:val="single" w:color="auto" w:sz="4" w:space="0"/>
              <w:bottom w:val="single" w:color="auto" w:sz="4" w:space="0"/>
              <w:right w:val="single" w:color="auto" w:sz="4" w:space="0"/>
            </w:tcBorders>
            <w:vAlign w:val="center"/>
          </w:tcPr>
          <w:p w14:paraId="2B3B1141">
            <w:pPr>
              <w:spacing w:line="360" w:lineRule="auto"/>
              <w:jc w:val="center"/>
              <w:rPr>
                <w:rFonts w:hint="default" w:eastAsia="仿宋_GB2312"/>
                <w:sz w:val="24"/>
                <w:lang w:val="en-US" w:eastAsia="zh-CN"/>
              </w:rPr>
            </w:pPr>
            <w:r>
              <w:rPr>
                <w:rFonts w:hint="eastAsia"/>
                <w:sz w:val="24"/>
                <w:lang w:val="en-US" w:eastAsia="zh-CN"/>
              </w:rPr>
              <w:t>X-815</w:t>
            </w:r>
          </w:p>
        </w:tc>
        <w:tc>
          <w:tcPr>
            <w:tcW w:w="1407" w:type="dxa"/>
            <w:tcBorders>
              <w:top w:val="single" w:color="auto" w:sz="4" w:space="0"/>
              <w:left w:val="single" w:color="auto" w:sz="4" w:space="0"/>
              <w:bottom w:val="single" w:color="auto" w:sz="4" w:space="0"/>
              <w:right w:val="single" w:color="auto" w:sz="4" w:space="0"/>
            </w:tcBorders>
            <w:vAlign w:val="center"/>
          </w:tcPr>
          <w:p w14:paraId="1411C581">
            <w:pPr>
              <w:spacing w:line="360" w:lineRule="auto"/>
              <w:jc w:val="center"/>
              <w:rPr>
                <w:sz w:val="24"/>
              </w:rPr>
            </w:pPr>
            <w:r>
              <w:rPr>
                <w:rFonts w:hint="eastAsia"/>
                <w:sz w:val="24"/>
              </w:rPr>
              <w:t>联系电话</w:t>
            </w:r>
          </w:p>
        </w:tc>
        <w:tc>
          <w:tcPr>
            <w:tcW w:w="1594" w:type="dxa"/>
            <w:gridSpan w:val="2"/>
            <w:tcBorders>
              <w:top w:val="single" w:color="auto" w:sz="4" w:space="0"/>
              <w:left w:val="single" w:color="auto" w:sz="4" w:space="0"/>
              <w:bottom w:val="single" w:color="auto" w:sz="4" w:space="0"/>
              <w:right w:val="single" w:color="auto" w:sz="4" w:space="0"/>
            </w:tcBorders>
            <w:vAlign w:val="center"/>
          </w:tcPr>
          <w:p w14:paraId="08D2A601">
            <w:pPr>
              <w:spacing w:line="360" w:lineRule="auto"/>
              <w:jc w:val="center"/>
              <w:rPr>
                <w:rFonts w:hint="default" w:eastAsia="仿宋_GB2312"/>
                <w:sz w:val="24"/>
                <w:lang w:val="en-US" w:eastAsia="zh-CN"/>
              </w:rPr>
            </w:pPr>
            <w:r>
              <w:rPr>
                <w:rFonts w:hint="eastAsia"/>
                <w:sz w:val="24"/>
                <w:lang w:val="en-US" w:eastAsia="zh-CN"/>
              </w:rPr>
              <w:t>15058149603</w:t>
            </w:r>
          </w:p>
        </w:tc>
        <w:tc>
          <w:tcPr>
            <w:tcW w:w="1383" w:type="dxa"/>
            <w:tcBorders>
              <w:top w:val="single" w:color="auto" w:sz="4" w:space="0"/>
              <w:left w:val="single" w:color="auto" w:sz="4" w:space="0"/>
              <w:bottom w:val="single" w:color="auto" w:sz="4" w:space="0"/>
              <w:right w:val="single" w:color="auto" w:sz="4" w:space="0"/>
            </w:tcBorders>
            <w:vAlign w:val="center"/>
          </w:tcPr>
          <w:p w14:paraId="14373A6D">
            <w:pPr>
              <w:spacing w:line="360" w:lineRule="auto"/>
              <w:jc w:val="center"/>
              <w:rPr>
                <w:sz w:val="24"/>
              </w:rPr>
            </w:pPr>
            <w:r>
              <w:rPr>
                <w:rFonts w:hint="eastAsia"/>
                <w:sz w:val="24"/>
              </w:rPr>
              <w:t>电子邮箱</w:t>
            </w:r>
          </w:p>
        </w:tc>
        <w:tc>
          <w:tcPr>
            <w:tcW w:w="1669" w:type="dxa"/>
            <w:tcBorders>
              <w:top w:val="single" w:color="auto" w:sz="4" w:space="0"/>
              <w:left w:val="single" w:color="auto" w:sz="4" w:space="0"/>
              <w:bottom w:val="single" w:color="auto" w:sz="4" w:space="0"/>
              <w:right w:val="single" w:color="auto" w:sz="4" w:space="0"/>
            </w:tcBorders>
            <w:vAlign w:val="center"/>
          </w:tcPr>
          <w:p w14:paraId="25C914B5">
            <w:pPr>
              <w:spacing w:line="360" w:lineRule="auto"/>
              <w:jc w:val="center"/>
              <w:rPr>
                <w:rFonts w:hint="default" w:eastAsia="仿宋_GB2312"/>
                <w:sz w:val="24"/>
                <w:lang w:val="en-US" w:eastAsia="zh-CN"/>
              </w:rPr>
            </w:pPr>
            <w:r>
              <w:rPr>
                <w:rFonts w:hint="eastAsia"/>
                <w:sz w:val="24"/>
                <w:lang w:val="en-US" w:eastAsia="zh-CN"/>
              </w:rPr>
              <w:t>jianghe@zjgsdx.edu.cn</w:t>
            </w:r>
          </w:p>
        </w:tc>
      </w:tr>
      <w:tr w14:paraId="63E0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985" w:type="dxa"/>
            <w:gridSpan w:val="3"/>
            <w:tcBorders>
              <w:top w:val="single" w:color="auto" w:sz="4" w:space="0"/>
              <w:left w:val="single" w:color="auto" w:sz="4" w:space="0"/>
              <w:bottom w:val="single" w:color="auto" w:sz="4" w:space="0"/>
              <w:right w:val="single" w:color="auto" w:sz="4" w:space="0"/>
            </w:tcBorders>
            <w:vAlign w:val="center"/>
          </w:tcPr>
          <w:p w14:paraId="6E83AD15">
            <w:pPr>
              <w:spacing w:line="360" w:lineRule="auto"/>
              <w:jc w:val="center"/>
              <w:rPr>
                <w:sz w:val="24"/>
              </w:rPr>
            </w:pPr>
            <w:r>
              <w:rPr>
                <w:rFonts w:hint="eastAsia"/>
                <w:sz w:val="24"/>
              </w:rPr>
              <w:t>专业</w:t>
            </w:r>
            <w:r>
              <w:rPr>
                <w:sz w:val="24"/>
              </w:rPr>
              <w:t>/</w:t>
            </w:r>
            <w:r>
              <w:rPr>
                <w:rFonts w:hint="eastAsia"/>
                <w:sz w:val="24"/>
              </w:rPr>
              <w:t>研究方向</w:t>
            </w:r>
          </w:p>
        </w:tc>
        <w:tc>
          <w:tcPr>
            <w:tcW w:w="6053" w:type="dxa"/>
            <w:gridSpan w:val="5"/>
            <w:tcBorders>
              <w:top w:val="single" w:color="auto" w:sz="4" w:space="0"/>
              <w:left w:val="single" w:color="auto" w:sz="4" w:space="0"/>
              <w:bottom w:val="single" w:color="auto" w:sz="4" w:space="0"/>
              <w:right w:val="single" w:color="auto" w:sz="4" w:space="0"/>
            </w:tcBorders>
            <w:vAlign w:val="center"/>
          </w:tcPr>
          <w:p w14:paraId="4C93F9BC">
            <w:pPr>
              <w:spacing w:line="360" w:lineRule="auto"/>
              <w:jc w:val="left"/>
              <w:rPr>
                <w:rFonts w:hint="default" w:eastAsia="仿宋_GB2312"/>
                <w:sz w:val="24"/>
                <w:lang w:val="en-US" w:eastAsia="zh-CN"/>
              </w:rPr>
            </w:pPr>
            <w:r>
              <w:rPr>
                <w:rFonts w:hint="eastAsia"/>
                <w:sz w:val="24"/>
                <w:lang w:val="en-US" w:eastAsia="zh-CN"/>
              </w:rPr>
              <w:t>环境科学与工程/环境催化（环境功能材料）</w:t>
            </w:r>
          </w:p>
        </w:tc>
      </w:tr>
      <w:tr w14:paraId="1CE0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985" w:type="dxa"/>
            <w:gridSpan w:val="3"/>
            <w:tcBorders>
              <w:top w:val="single" w:color="auto" w:sz="4" w:space="0"/>
              <w:left w:val="single" w:color="auto" w:sz="4" w:space="0"/>
              <w:bottom w:val="single" w:color="auto" w:sz="4" w:space="0"/>
              <w:right w:val="single" w:color="auto" w:sz="4" w:space="0"/>
            </w:tcBorders>
            <w:vAlign w:val="center"/>
          </w:tcPr>
          <w:p w14:paraId="3864A26B">
            <w:pPr>
              <w:spacing w:line="360" w:lineRule="auto"/>
              <w:jc w:val="center"/>
              <w:rPr>
                <w:sz w:val="24"/>
              </w:rPr>
            </w:pPr>
            <w:r>
              <w:rPr>
                <w:rFonts w:hint="eastAsia"/>
                <w:sz w:val="24"/>
              </w:rPr>
              <w:t>拟招学生专业</w:t>
            </w:r>
          </w:p>
        </w:tc>
        <w:tc>
          <w:tcPr>
            <w:tcW w:w="2988" w:type="dxa"/>
            <w:gridSpan w:val="2"/>
            <w:tcBorders>
              <w:top w:val="single" w:color="auto" w:sz="4" w:space="0"/>
              <w:left w:val="single" w:color="auto" w:sz="4" w:space="0"/>
              <w:bottom w:val="single" w:color="auto" w:sz="4" w:space="0"/>
              <w:right w:val="single" w:color="auto" w:sz="4" w:space="0"/>
            </w:tcBorders>
            <w:vAlign w:val="center"/>
          </w:tcPr>
          <w:p w14:paraId="07B7B9DE">
            <w:pPr>
              <w:spacing w:line="360" w:lineRule="auto"/>
              <w:jc w:val="left"/>
              <w:rPr>
                <w:rFonts w:hint="default" w:eastAsia="仿宋_GB2312"/>
                <w:sz w:val="24"/>
                <w:lang w:val="en-US" w:eastAsia="zh-CN"/>
              </w:rPr>
            </w:pPr>
            <w:r>
              <w:rPr>
                <w:rFonts w:hint="eastAsia"/>
                <w:sz w:val="24"/>
                <w:lang w:val="en-US" w:eastAsia="zh-CN"/>
              </w:rPr>
              <w:t>给排水工程、环境工程技术、环境监测技术</w:t>
            </w:r>
          </w:p>
        </w:tc>
        <w:tc>
          <w:tcPr>
            <w:tcW w:w="1393" w:type="dxa"/>
            <w:gridSpan w:val="2"/>
            <w:tcBorders>
              <w:top w:val="single" w:color="auto" w:sz="4" w:space="0"/>
              <w:left w:val="single" w:color="auto" w:sz="4" w:space="0"/>
              <w:bottom w:val="single" w:color="auto" w:sz="4" w:space="0"/>
              <w:right w:val="single" w:color="auto" w:sz="4" w:space="0"/>
            </w:tcBorders>
            <w:vAlign w:val="center"/>
          </w:tcPr>
          <w:p w14:paraId="2E6228B4">
            <w:pPr>
              <w:spacing w:line="360" w:lineRule="auto"/>
              <w:jc w:val="center"/>
              <w:rPr>
                <w:sz w:val="24"/>
              </w:rPr>
            </w:pPr>
            <w:r>
              <w:rPr>
                <w:rFonts w:hint="eastAsia"/>
                <w:sz w:val="24"/>
              </w:rPr>
              <w:t>招生人数</w:t>
            </w:r>
          </w:p>
        </w:tc>
        <w:tc>
          <w:tcPr>
            <w:tcW w:w="1672" w:type="dxa"/>
            <w:tcBorders>
              <w:top w:val="single" w:color="auto" w:sz="4" w:space="0"/>
              <w:left w:val="single" w:color="auto" w:sz="4" w:space="0"/>
              <w:bottom w:val="single" w:color="auto" w:sz="4" w:space="0"/>
              <w:right w:val="single" w:color="auto" w:sz="4" w:space="0"/>
            </w:tcBorders>
            <w:vAlign w:val="center"/>
          </w:tcPr>
          <w:p w14:paraId="06C05DEE">
            <w:pPr>
              <w:spacing w:line="360" w:lineRule="auto"/>
              <w:jc w:val="left"/>
              <w:rPr>
                <w:rFonts w:hint="eastAsia" w:eastAsia="仿宋_GB2312"/>
                <w:sz w:val="24"/>
                <w:lang w:val="en-US" w:eastAsia="zh-CN"/>
              </w:rPr>
            </w:pPr>
            <w:r>
              <w:rPr>
                <w:rFonts w:hint="eastAsia"/>
                <w:sz w:val="24"/>
                <w:lang w:val="en-US" w:eastAsia="zh-CN"/>
              </w:rPr>
              <w:t>2</w:t>
            </w:r>
          </w:p>
        </w:tc>
      </w:tr>
      <w:tr w14:paraId="7112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4" w:hRule="atLeast"/>
          <w:jc w:val="center"/>
        </w:trPr>
        <w:tc>
          <w:tcPr>
            <w:tcW w:w="9038" w:type="dxa"/>
            <w:gridSpan w:val="8"/>
            <w:tcBorders>
              <w:top w:val="single" w:color="auto" w:sz="4" w:space="0"/>
              <w:left w:val="single" w:color="auto" w:sz="4" w:space="0"/>
              <w:bottom w:val="single" w:color="auto" w:sz="4" w:space="0"/>
              <w:right w:val="single" w:color="auto" w:sz="4" w:space="0"/>
            </w:tcBorders>
            <w:vAlign w:val="center"/>
          </w:tcPr>
          <w:p w14:paraId="0D200336">
            <w:pPr>
              <w:spacing w:line="360" w:lineRule="auto"/>
              <w:rPr>
                <w:rFonts w:hint="eastAsia"/>
                <w:sz w:val="24"/>
              </w:rPr>
            </w:pPr>
            <w:r>
              <w:rPr>
                <w:rFonts w:hint="eastAsia"/>
                <w:sz w:val="24"/>
              </w:rPr>
              <w:t>导师简介：（包括工作经历、教学科研成果、人才培养贡献等）</w:t>
            </w:r>
          </w:p>
          <w:p w14:paraId="43944D5E">
            <w:pPr>
              <w:rPr>
                <w:rFonts w:hint="eastAsia"/>
                <w:b/>
                <w:bCs/>
                <w:sz w:val="24"/>
              </w:rPr>
            </w:pPr>
            <w:r>
              <w:rPr>
                <w:rFonts w:hint="eastAsia"/>
                <w:b/>
                <w:bCs/>
                <w:sz w:val="24"/>
              </w:rPr>
              <w:t>学习工作简历：</w:t>
            </w:r>
          </w:p>
          <w:p w14:paraId="1A808F02">
            <w:pPr>
              <w:rPr>
                <w:rFonts w:hint="eastAsia"/>
                <w:sz w:val="24"/>
              </w:rPr>
            </w:pPr>
            <w:r>
              <w:rPr>
                <w:rFonts w:hint="eastAsia"/>
                <w:sz w:val="24"/>
              </w:rPr>
              <w:t>2015.09～2019.06 就读于常州大学获工学学士学位；</w:t>
            </w:r>
          </w:p>
          <w:p w14:paraId="515A4206">
            <w:pPr>
              <w:rPr>
                <w:rFonts w:hint="eastAsia" w:eastAsia="仿宋_GB2312"/>
                <w:sz w:val="24"/>
                <w:lang w:eastAsia="zh-CN"/>
              </w:rPr>
            </w:pPr>
            <w:r>
              <w:rPr>
                <w:rFonts w:hint="eastAsia"/>
                <w:sz w:val="24"/>
              </w:rPr>
              <w:t>2019.09～2024.06 就读于浙江工业大学获工学博士学位（硕博连读）</w:t>
            </w:r>
            <w:r>
              <w:rPr>
                <w:rFonts w:hint="eastAsia"/>
                <w:sz w:val="24"/>
                <w:lang w:eastAsia="zh-CN"/>
              </w:rPr>
              <w:t>；</w:t>
            </w:r>
          </w:p>
          <w:p w14:paraId="75CA724F">
            <w:pPr>
              <w:rPr>
                <w:rFonts w:hint="eastAsia"/>
                <w:sz w:val="24"/>
              </w:rPr>
            </w:pPr>
            <w:r>
              <w:rPr>
                <w:rFonts w:hint="eastAsia"/>
                <w:sz w:val="24"/>
              </w:rPr>
              <w:t>2024.10～至今 浙江广厦建设职业技术大学环境能源学院从事教学与科研工作。</w:t>
            </w:r>
          </w:p>
          <w:p w14:paraId="227CA5C7">
            <w:pPr>
              <w:rPr>
                <w:rFonts w:hint="eastAsia"/>
                <w:sz w:val="24"/>
              </w:rPr>
            </w:pPr>
          </w:p>
          <w:p w14:paraId="6C0E5305">
            <w:pPr>
              <w:rPr>
                <w:rFonts w:hint="eastAsia"/>
                <w:b/>
                <w:bCs/>
                <w:sz w:val="24"/>
              </w:rPr>
            </w:pPr>
            <w:r>
              <w:rPr>
                <w:rFonts w:hint="eastAsia"/>
                <w:b/>
                <w:bCs/>
                <w:sz w:val="24"/>
              </w:rPr>
              <w:t>参与的主要科研项目：</w:t>
            </w:r>
          </w:p>
          <w:p w14:paraId="1E538E4A">
            <w:pPr>
              <w:rPr>
                <w:rFonts w:hint="eastAsia"/>
                <w:sz w:val="24"/>
              </w:rPr>
            </w:pPr>
            <w:r>
              <w:rPr>
                <w:rFonts w:hint="eastAsia"/>
                <w:sz w:val="24"/>
              </w:rPr>
              <w:t>1、润湿性可控中空单分散TiO</w:t>
            </w:r>
            <w:r>
              <w:rPr>
                <w:rFonts w:hint="eastAsia"/>
                <w:sz w:val="24"/>
                <w:vertAlign w:val="subscript"/>
              </w:rPr>
              <w:t>2</w:t>
            </w:r>
            <w:r>
              <w:rPr>
                <w:rFonts w:hint="eastAsia"/>
                <w:sz w:val="24"/>
              </w:rPr>
              <w:t>-多孔碳的构建及其光催化降解典型VOCs研究，国家自然科学基金面上项目（22076168）</w:t>
            </w:r>
          </w:p>
          <w:p w14:paraId="171BF70F">
            <w:pPr>
              <w:rPr>
                <w:rFonts w:hint="eastAsia"/>
                <w:sz w:val="24"/>
              </w:rPr>
            </w:pPr>
            <w:r>
              <w:rPr>
                <w:rFonts w:hint="eastAsia"/>
                <w:sz w:val="24"/>
              </w:rPr>
              <w:t>2、高选择性还原二氧化碳制合成气的铜基低成本双金属催化剂的设计与性能测试，国家自然科学基金青年项目（21908199）</w:t>
            </w:r>
          </w:p>
          <w:p w14:paraId="5A8B9438">
            <w:pPr>
              <w:rPr>
                <w:rFonts w:hint="eastAsia"/>
                <w:sz w:val="24"/>
              </w:rPr>
            </w:pPr>
            <w:r>
              <w:rPr>
                <w:rFonts w:hint="eastAsia"/>
                <w:sz w:val="24"/>
              </w:rPr>
              <w:t>3</w:t>
            </w:r>
            <w:r>
              <w:rPr>
                <w:rFonts w:hint="eastAsia"/>
                <w:sz w:val="24"/>
                <w:lang w:eastAsia="zh-CN"/>
              </w:rPr>
              <w:t>、</w:t>
            </w:r>
            <w:r>
              <w:rPr>
                <w:rFonts w:hint="eastAsia"/>
                <w:sz w:val="24"/>
              </w:rPr>
              <w:t>NiCo</w:t>
            </w:r>
            <w:r>
              <w:rPr>
                <w:rFonts w:hint="eastAsia"/>
                <w:sz w:val="24"/>
                <w:vertAlign w:val="subscript"/>
              </w:rPr>
              <w:t>2</w:t>
            </w:r>
            <w:r>
              <w:rPr>
                <w:rFonts w:hint="eastAsia"/>
                <w:sz w:val="24"/>
              </w:rPr>
              <w:t>O</w:t>
            </w:r>
            <w:r>
              <w:rPr>
                <w:rFonts w:hint="eastAsia"/>
                <w:sz w:val="24"/>
                <w:vertAlign w:val="subscript"/>
              </w:rPr>
              <w:t>4</w:t>
            </w:r>
            <w:r>
              <w:rPr>
                <w:rFonts w:hint="eastAsia"/>
                <w:sz w:val="24"/>
              </w:rPr>
              <w:t>中间层修饰的Pd/泡沫Ni电极在多氯联苯电催化加氢脱氯中的应用，浙江省高校基本科研业务费项（RF-A2020011）</w:t>
            </w:r>
          </w:p>
          <w:p w14:paraId="1758879F">
            <w:pPr>
              <w:rPr>
                <w:rFonts w:hint="eastAsia"/>
                <w:b/>
                <w:bCs/>
                <w:sz w:val="24"/>
              </w:rPr>
            </w:pPr>
            <w:r>
              <w:rPr>
                <w:rFonts w:hint="eastAsia"/>
                <w:b/>
                <w:bCs/>
                <w:sz w:val="24"/>
              </w:rPr>
              <w:t>学术论文：</w:t>
            </w:r>
          </w:p>
          <w:p w14:paraId="59B69E6B">
            <w:pPr>
              <w:rPr>
                <w:rFonts w:hint="eastAsia"/>
                <w:sz w:val="24"/>
              </w:rPr>
            </w:pPr>
            <w:r>
              <w:rPr>
                <w:rFonts w:hint="eastAsia"/>
                <w:sz w:val="24"/>
              </w:rPr>
              <w:t xml:space="preserve">[1] </w:t>
            </w:r>
            <w:r>
              <w:rPr>
                <w:rFonts w:hint="eastAsia"/>
                <w:b/>
                <w:bCs/>
                <w:sz w:val="24"/>
              </w:rPr>
              <w:t>He Jiang</w:t>
            </w:r>
            <w:r>
              <w:rPr>
                <w:rFonts w:hint="eastAsia"/>
                <w:sz w:val="24"/>
              </w:rPr>
              <w:t>, Haoliang Wei, Xinkai Li, et al. Anchoring atomic Pd on molybdenum disulfide with state-of-the-art specific activity in the electrochemical dehalogenation of florfenicol, Chemical Engineering Journal, 2024, 499:156481</w:t>
            </w:r>
          </w:p>
          <w:p w14:paraId="6EB81B26">
            <w:pPr>
              <w:rPr>
                <w:rFonts w:hint="eastAsia"/>
                <w:sz w:val="24"/>
              </w:rPr>
            </w:pPr>
            <w:r>
              <w:rPr>
                <w:rFonts w:hint="eastAsia"/>
                <w:sz w:val="24"/>
              </w:rPr>
              <w:t xml:space="preserve">[2] Weiting Yu, </w:t>
            </w:r>
            <w:r>
              <w:rPr>
                <w:rFonts w:hint="eastAsia"/>
                <w:b/>
                <w:bCs/>
                <w:sz w:val="24"/>
              </w:rPr>
              <w:t>He Jiang</w:t>
            </w:r>
            <w:r>
              <w:rPr>
                <w:rFonts w:hint="eastAsia"/>
                <w:sz w:val="24"/>
              </w:rPr>
              <w:t>, Jinhui Fang, and Shuang Song. Designing an electron-deficient Pd/NiCo</w:t>
            </w:r>
            <w:r>
              <w:rPr>
                <w:rFonts w:hint="eastAsia"/>
                <w:sz w:val="24"/>
                <w:vertAlign w:val="subscript"/>
              </w:rPr>
              <w:t>2</w:t>
            </w:r>
            <w:r>
              <w:rPr>
                <w:rFonts w:hint="eastAsia"/>
                <w:sz w:val="24"/>
              </w:rPr>
              <w:t>O</w:t>
            </w:r>
            <w:r>
              <w:rPr>
                <w:rFonts w:hint="eastAsia"/>
                <w:sz w:val="24"/>
                <w:vertAlign w:val="subscript"/>
              </w:rPr>
              <w:t>4</w:t>
            </w:r>
            <w:r>
              <w:rPr>
                <w:rFonts w:hint="eastAsia"/>
                <w:sz w:val="24"/>
              </w:rPr>
              <w:t xml:space="preserve"> bifunctional electrocatalyst with an enhanced hydrodechlorination activity to reduce the consumption of Pd, Environmental Science &amp; Technology, 2021, 55(14):10087 </w:t>
            </w:r>
            <w:bookmarkStart w:id="0" w:name="_GoBack"/>
            <w:bookmarkEnd w:id="0"/>
          </w:p>
          <w:p w14:paraId="20D03FF1">
            <w:pPr>
              <w:rPr>
                <w:rFonts w:hint="eastAsia"/>
                <w:b/>
                <w:bCs/>
                <w:sz w:val="24"/>
              </w:rPr>
            </w:pPr>
            <w:r>
              <w:rPr>
                <w:rFonts w:hint="eastAsia"/>
                <w:b/>
                <w:bCs/>
                <w:sz w:val="24"/>
              </w:rPr>
              <w:t>发明专利：</w:t>
            </w:r>
          </w:p>
          <w:p w14:paraId="34DB0EB8">
            <w:pPr>
              <w:rPr>
                <w:rFonts w:hint="eastAsia"/>
                <w:sz w:val="24"/>
              </w:rPr>
            </w:pPr>
            <w:r>
              <w:rPr>
                <w:rFonts w:hint="eastAsia"/>
                <w:sz w:val="24"/>
              </w:rPr>
              <w:t>[1] 钯/碳化钼复合材料作为对硝基苯酚还原催化剂的应用、ZL 2021 1 0535307.1、授权</w:t>
            </w:r>
          </w:p>
          <w:p w14:paraId="229E87E1">
            <w:pPr>
              <w:rPr>
                <w:rFonts w:hint="eastAsia"/>
                <w:sz w:val="24"/>
              </w:rPr>
            </w:pPr>
            <w:r>
              <w:rPr>
                <w:rFonts w:hint="eastAsia"/>
                <w:sz w:val="24"/>
              </w:rPr>
              <w:t>[2] 生物质炭负载的钯/钴酸铜复合材料及其制备方法和应用、ZL 2022 1 0651590.9、授权</w:t>
            </w:r>
          </w:p>
          <w:p w14:paraId="4E3E8334">
            <w:pPr>
              <w:rPr>
                <w:rFonts w:hint="eastAsia"/>
                <w:sz w:val="24"/>
              </w:rPr>
            </w:pPr>
            <w:r>
              <w:rPr>
                <w:rFonts w:hint="eastAsia"/>
                <w:sz w:val="24"/>
              </w:rPr>
              <w:t xml:space="preserve">[3] 一种CoNi-NC复合材料的制备方法及其应用、ZL 2022 1 1597822.3、授权 </w:t>
            </w:r>
          </w:p>
          <w:p w14:paraId="51A99051">
            <w:pPr>
              <w:rPr>
                <w:rFonts w:hint="eastAsia"/>
                <w:sz w:val="24"/>
              </w:rPr>
            </w:pPr>
            <w:r>
              <w:rPr>
                <w:rFonts w:hint="eastAsia"/>
                <w:sz w:val="24"/>
              </w:rPr>
              <w:t xml:space="preserve">[4] 一种河道污染物去除装置、ZL 2017 1 0222762X、授权 </w:t>
            </w:r>
          </w:p>
          <w:p w14:paraId="42DEBF5A">
            <w:pPr>
              <w:rPr>
                <w:rFonts w:hint="eastAsia"/>
                <w:sz w:val="24"/>
              </w:rPr>
            </w:pPr>
          </w:p>
        </w:tc>
      </w:tr>
      <w:tr w14:paraId="448C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65E8DE59">
            <w:pPr>
              <w:rPr>
                <w:sz w:val="24"/>
                <w:u w:val="single"/>
              </w:rPr>
            </w:pPr>
            <w:r>
              <w:rPr>
                <w:rFonts w:hint="eastAsia"/>
                <w:sz w:val="24"/>
                <w:u w:val="single"/>
              </w:rPr>
              <w:t>主持或拟开展科研项目</w:t>
            </w:r>
          </w:p>
        </w:tc>
        <w:tc>
          <w:tcPr>
            <w:tcW w:w="7494" w:type="dxa"/>
            <w:gridSpan w:val="7"/>
            <w:tcBorders>
              <w:top w:val="single" w:color="auto" w:sz="4" w:space="0"/>
              <w:left w:val="single" w:color="auto" w:sz="4" w:space="0"/>
              <w:bottom w:val="single" w:color="auto" w:sz="4" w:space="0"/>
              <w:right w:val="single" w:color="auto" w:sz="4" w:space="0"/>
            </w:tcBorders>
            <w:vAlign w:val="center"/>
          </w:tcPr>
          <w:p w14:paraId="31A6E7DB">
            <w:pPr>
              <w:rPr>
                <w:sz w:val="24"/>
                <w:u w:val="single"/>
              </w:rPr>
            </w:pPr>
          </w:p>
          <w:p w14:paraId="50B624CC">
            <w:pPr>
              <w:rPr>
                <w:sz w:val="24"/>
                <w:u w:val="single"/>
              </w:rPr>
            </w:pPr>
          </w:p>
          <w:p w14:paraId="6B198922">
            <w:pPr>
              <w:rPr>
                <w:sz w:val="24"/>
                <w:u w:val="none"/>
              </w:rPr>
            </w:pPr>
            <w:r>
              <w:rPr>
                <w:rFonts w:hint="eastAsia"/>
                <w:sz w:val="24"/>
                <w:u w:val="none"/>
              </w:rPr>
              <w:t>双功能电催化材料协同还原氧化水中卤代抗生素机理研究</w:t>
            </w:r>
          </w:p>
          <w:p w14:paraId="4DAECF9E">
            <w:pPr>
              <w:rPr>
                <w:sz w:val="24"/>
                <w:u w:val="single"/>
              </w:rPr>
            </w:pPr>
          </w:p>
          <w:p w14:paraId="617E4792">
            <w:pPr>
              <w:rPr>
                <w:sz w:val="18"/>
                <w:szCs w:val="18"/>
                <w:u w:val="single"/>
              </w:rPr>
            </w:pPr>
          </w:p>
        </w:tc>
      </w:tr>
      <w:tr w14:paraId="5ACD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626B2732">
            <w:pPr>
              <w:rPr>
                <w:sz w:val="24"/>
                <w:u w:val="single"/>
              </w:rPr>
            </w:pPr>
            <w:r>
              <w:rPr>
                <w:rFonts w:hint="eastAsia"/>
                <w:sz w:val="24"/>
                <w:u w:val="single"/>
              </w:rPr>
              <w:t>拟指导学科</w:t>
            </w:r>
            <w:r>
              <w:rPr>
                <w:sz w:val="24"/>
                <w:u w:val="single"/>
              </w:rPr>
              <w:t>/</w:t>
            </w:r>
            <w:r>
              <w:rPr>
                <w:rFonts w:hint="eastAsia"/>
                <w:sz w:val="24"/>
                <w:u w:val="single"/>
              </w:rPr>
              <w:t>技能竞赛项目</w:t>
            </w:r>
          </w:p>
        </w:tc>
        <w:tc>
          <w:tcPr>
            <w:tcW w:w="7494" w:type="dxa"/>
            <w:gridSpan w:val="7"/>
            <w:tcBorders>
              <w:top w:val="single" w:color="auto" w:sz="4" w:space="0"/>
              <w:left w:val="single" w:color="auto" w:sz="4" w:space="0"/>
              <w:bottom w:val="single" w:color="auto" w:sz="4" w:space="0"/>
              <w:right w:val="single" w:color="auto" w:sz="4" w:space="0"/>
            </w:tcBorders>
            <w:vAlign w:val="center"/>
          </w:tcPr>
          <w:p w14:paraId="7402B14A">
            <w:pPr>
              <w:rPr>
                <w:sz w:val="24"/>
                <w:u w:val="single"/>
              </w:rPr>
            </w:pPr>
          </w:p>
          <w:p w14:paraId="26584883">
            <w:pPr>
              <w:rPr>
                <w:sz w:val="24"/>
                <w:u w:val="none"/>
              </w:rPr>
            </w:pPr>
            <w:r>
              <w:rPr>
                <w:rFonts w:hint="eastAsia"/>
                <w:sz w:val="24"/>
                <w:u w:val="none"/>
              </w:rPr>
              <w:t>催化臭氧净水过程中</w:t>
            </w:r>
            <w:r>
              <w:rPr>
                <w:rFonts w:hint="eastAsia"/>
                <w:sz w:val="24"/>
                <w:u w:val="none"/>
                <w:lang w:val="en-US" w:eastAsia="zh-CN"/>
              </w:rPr>
              <w:t>新兴污染物</w:t>
            </w:r>
            <w:r>
              <w:rPr>
                <w:rFonts w:hint="eastAsia"/>
                <w:sz w:val="24"/>
                <w:u w:val="none"/>
              </w:rPr>
              <w:t>的环境微生物毒性削减机制研究</w:t>
            </w:r>
          </w:p>
          <w:p w14:paraId="23E2A155">
            <w:pPr>
              <w:rPr>
                <w:sz w:val="24"/>
                <w:u w:val="single"/>
              </w:rPr>
            </w:pPr>
          </w:p>
          <w:p w14:paraId="48540841">
            <w:pPr>
              <w:rPr>
                <w:sz w:val="18"/>
                <w:szCs w:val="18"/>
                <w:u w:val="single"/>
              </w:rPr>
            </w:pPr>
          </w:p>
        </w:tc>
      </w:tr>
      <w:tr w14:paraId="5B3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44" w:type="dxa"/>
            <w:tcBorders>
              <w:top w:val="single" w:color="auto" w:sz="4" w:space="0"/>
              <w:left w:val="single" w:color="auto" w:sz="4" w:space="0"/>
              <w:bottom w:val="single" w:color="auto" w:sz="4" w:space="0"/>
              <w:right w:val="single" w:color="auto" w:sz="4" w:space="0"/>
            </w:tcBorders>
            <w:vAlign w:val="center"/>
          </w:tcPr>
          <w:p w14:paraId="18999713">
            <w:pPr>
              <w:spacing w:line="360" w:lineRule="auto"/>
              <w:rPr>
                <w:sz w:val="24"/>
              </w:rPr>
            </w:pPr>
            <w:r>
              <w:rPr>
                <w:rFonts w:hint="eastAsia"/>
                <w:sz w:val="24"/>
              </w:rPr>
              <w:t>指导计划</w:t>
            </w:r>
          </w:p>
        </w:tc>
        <w:tc>
          <w:tcPr>
            <w:tcW w:w="7494" w:type="dxa"/>
            <w:gridSpan w:val="7"/>
            <w:tcBorders>
              <w:top w:val="single" w:color="auto" w:sz="4" w:space="0"/>
              <w:left w:val="single" w:color="auto" w:sz="4" w:space="0"/>
              <w:bottom w:val="single" w:color="auto" w:sz="4" w:space="0"/>
              <w:right w:val="single" w:color="auto" w:sz="4" w:space="0"/>
            </w:tcBorders>
            <w:vAlign w:val="center"/>
          </w:tcPr>
          <w:p w14:paraId="57456F2B">
            <w:pPr>
              <w:spacing w:line="360" w:lineRule="auto"/>
              <w:rPr>
                <w:rFonts w:hint="default" w:eastAsia="仿宋_GB2312"/>
                <w:sz w:val="24"/>
                <w:lang w:val="en-US" w:eastAsia="zh-CN"/>
              </w:rPr>
            </w:pPr>
            <w:r>
              <w:rPr>
                <w:rFonts w:hint="eastAsia"/>
                <w:sz w:val="24"/>
                <w:lang w:val="en-US" w:eastAsia="zh-CN"/>
              </w:rPr>
              <w:t>1、前期进行科研兴趣培养，熟悉相关环境催化方法</w:t>
            </w:r>
          </w:p>
          <w:p w14:paraId="1DC6B876">
            <w:pPr>
              <w:spacing w:line="360" w:lineRule="auto"/>
              <w:rPr>
                <w:rFonts w:hint="default" w:eastAsia="仿宋_GB2312"/>
                <w:sz w:val="24"/>
                <w:lang w:val="en-US" w:eastAsia="zh-CN"/>
              </w:rPr>
            </w:pPr>
            <w:r>
              <w:rPr>
                <w:rFonts w:hint="eastAsia"/>
                <w:sz w:val="24"/>
                <w:lang w:val="en-US" w:eastAsia="zh-CN"/>
              </w:rPr>
              <w:t>2、进行实验操作与环境监测设备的使用</w:t>
            </w:r>
          </w:p>
          <w:p w14:paraId="6B9F59A9">
            <w:pPr>
              <w:spacing w:line="360" w:lineRule="auto"/>
              <w:rPr>
                <w:rFonts w:hint="default" w:eastAsia="仿宋_GB2312"/>
                <w:sz w:val="24"/>
                <w:lang w:val="en-US" w:eastAsia="zh-CN"/>
              </w:rPr>
            </w:pPr>
            <w:r>
              <w:rPr>
                <w:rFonts w:hint="eastAsia"/>
                <w:sz w:val="24"/>
                <w:lang w:val="en-US" w:eastAsia="zh-CN"/>
              </w:rPr>
              <w:t>3、使用相关成果参与竞赛和发表学术论文</w:t>
            </w:r>
          </w:p>
        </w:tc>
      </w:tr>
    </w:tbl>
    <w:p w14:paraId="328D3A44">
      <w:pPr>
        <w:ind w:left="840" w:hanging="840" w:hangingChars="350"/>
        <w:rPr>
          <w:sz w:val="24"/>
        </w:rPr>
      </w:pPr>
      <w:r>
        <w:rPr>
          <w:rFonts w:hint="eastAsia"/>
          <w:sz w:val="24"/>
        </w:rPr>
        <w:t>注：该表由导师填写好后，由学院统一向全院学生公布。</w:t>
      </w:r>
    </w:p>
    <w:p w14:paraId="48187162">
      <w:pPr>
        <w:ind w:left="840" w:hanging="840" w:hangingChars="350"/>
        <w:rPr>
          <w:rFonts w:hint="eastAsia"/>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046D0"/>
    <w:rsid w:val="00233839"/>
    <w:rsid w:val="00273A31"/>
    <w:rsid w:val="00501501"/>
    <w:rsid w:val="006200A4"/>
    <w:rsid w:val="00671266"/>
    <w:rsid w:val="006F07E5"/>
    <w:rsid w:val="00A40ED6"/>
    <w:rsid w:val="00A55F49"/>
    <w:rsid w:val="00C229DA"/>
    <w:rsid w:val="00C701CF"/>
    <w:rsid w:val="00FB6CF3"/>
    <w:rsid w:val="00FC50F5"/>
    <w:rsid w:val="16012532"/>
    <w:rsid w:val="1F3C1C4F"/>
    <w:rsid w:val="1F6179DA"/>
    <w:rsid w:val="29F658B3"/>
    <w:rsid w:val="33753436"/>
    <w:rsid w:val="43D7533F"/>
    <w:rsid w:val="44175A1A"/>
    <w:rsid w:val="50BE7CD5"/>
    <w:rsid w:val="7CB92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qFormat/>
    <w:uiPriority w:val="0"/>
    <w:rPr>
      <w:sz w:val="18"/>
      <w:szCs w:val="18"/>
    </w:rPr>
  </w:style>
  <w:style w:type="paragraph" w:customStyle="1" w:styleId="5">
    <w:name w:val="列出段落1"/>
    <w:basedOn w:val="1"/>
    <w:unhideWhenUsed/>
    <w:qFormat/>
    <w:uiPriority w:val="99"/>
    <w:pPr>
      <w:ind w:firstLine="420" w:firstLineChars="200"/>
    </w:pPr>
    <w:rPr>
      <w:rFonts w:ascii="Calibri" w:hAnsi="Calibri" w:eastAsia="宋体"/>
      <w:sz w:val="21"/>
    </w:rPr>
  </w:style>
  <w:style w:type="character" w:customStyle="1" w:styleId="6">
    <w:name w:val="批注框文本 字符"/>
    <w:basedOn w:val="4"/>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719</Words>
  <Characters>1254</Characters>
  <Lines>14</Lines>
  <Paragraphs>4</Paragraphs>
  <TotalTime>233</TotalTime>
  <ScaleCrop>false</ScaleCrop>
  <LinksUpToDate>false</LinksUpToDate>
  <CharactersWithSpaces>1337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2025-01-13T01:48:00Z</dcterms:created>
  <dc:creator>Administrator</dc:creator>
  <cp:lastModifiedBy>包包</cp:lastModifiedBy>
  <cp:lastPrinted>2025-01-13T01:54:00Z</cp:lastPrinted>
  <dcterms:modified xsi:type="dcterms:W3CDTF">2025-03-03T10:52:19Z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eyJoZGlkIjoiYWM1ZjQ2YzhiMWRmYzVmMzA3NTMzMTM4ZjYwYmE1OTgiLCJ1c2VySWQiOiIzNzQ3NTkwMTcifQ==</vt:lpwstr>
  </property>
  <property fmtid="{D5CDD505-2E9C-101B-9397-08002B2CF9AE}" pid="4" name="ICV">
    <vt:lpwstr>95BA79B774B64CBBB685948644E879C5_13</vt:lpwstr>
  </property>
</Properties>
</file>