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629C10">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olor w:val="auto"/>
          <w:sz w:val="32"/>
          <w:szCs w:val="32"/>
          <w:lang w:val="en-US" w:eastAsia="zh-CN"/>
        </w:rPr>
      </w:pPr>
      <w:r>
        <w:rPr>
          <w:rFonts w:hint="eastAsia" w:ascii="黑体" w:hAnsi="黑体" w:eastAsia="黑体"/>
          <w:color w:val="auto"/>
          <w:sz w:val="32"/>
          <w:szCs w:val="32"/>
          <w:lang w:val="en-US" w:eastAsia="zh-CN"/>
        </w:rPr>
        <w:t>浙江广厦建设职业技术大学</w:t>
      </w:r>
    </w:p>
    <w:p w14:paraId="1FE19535">
      <w:pPr>
        <w:keepNext w:val="0"/>
        <w:keepLines w:val="0"/>
        <w:pageBreakBefore w:val="0"/>
        <w:widowControl w:val="0"/>
        <w:kinsoku/>
        <w:wordWrap/>
        <w:overflowPunct/>
        <w:topLinePunct w:val="0"/>
        <w:autoSpaceDE/>
        <w:autoSpaceDN/>
        <w:bidi w:val="0"/>
        <w:adjustRightInd/>
        <w:snapToGrid/>
        <w:spacing w:after="313" w:afterLines="100"/>
        <w:jc w:val="center"/>
        <w:textAlignment w:val="auto"/>
        <w:rPr>
          <w:rFonts w:hint="eastAsia" w:ascii="黑体" w:hAnsi="黑体" w:eastAsia="黑体"/>
          <w:color w:val="auto"/>
          <w:sz w:val="30"/>
          <w:szCs w:val="30"/>
          <w:lang w:val="en-US" w:eastAsia="zh-CN"/>
        </w:rPr>
      </w:pPr>
      <w:r>
        <w:rPr>
          <w:rFonts w:hint="eastAsia" w:ascii="黑体" w:hAnsi="黑体" w:eastAsia="黑体"/>
          <w:color w:val="auto"/>
          <w:sz w:val="30"/>
          <w:szCs w:val="30"/>
          <w:lang w:val="en-US" w:eastAsia="zh-CN"/>
        </w:rPr>
        <w:t>采购“新双高项目管理与绩效评价平台”服务询价函</w:t>
      </w:r>
    </w:p>
    <w:p w14:paraId="78306381">
      <w:pPr>
        <w:keepNext w:val="0"/>
        <w:keepLines w:val="0"/>
        <w:pageBreakBefore w:val="0"/>
        <w:widowControl w:val="0"/>
        <w:numPr>
          <w:ilvl w:val="0"/>
          <w:numId w:val="0"/>
        </w:numPr>
        <w:kinsoku/>
        <w:wordWrap/>
        <w:overflowPunct/>
        <w:topLinePunct w:val="0"/>
        <w:autoSpaceDE/>
        <w:autoSpaceDN/>
        <w:bidi w:val="0"/>
        <w:adjustRightInd/>
        <w:snapToGrid w:val="0"/>
        <w:spacing w:line="0" w:lineRule="atLeast"/>
        <w:ind w:right="0" w:rightChars="0" w:firstLine="560" w:firstLineChars="200"/>
        <w:jc w:val="both"/>
        <w:textAlignment w:val="auto"/>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根据《中华人民共和国政府采购法》及有关规定，参考东阳市财政局关于明确东阳市2025-2026年行政事业单位和社会团体审计服务框架协议采购的通知，对“新双高项目管理与绩效评价平台”服务进行询价。</w:t>
      </w:r>
    </w:p>
    <w:p w14:paraId="363D0C05">
      <w:pPr>
        <w:numPr>
          <w:ilvl w:val="0"/>
          <w:numId w:val="1"/>
        </w:numPr>
        <w:bidi w:val="0"/>
        <w:ind w:firstLine="562" w:firstLineChars="200"/>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项目基本情况</w:t>
      </w:r>
    </w:p>
    <w:tbl>
      <w:tblPr>
        <w:tblStyle w:val="12"/>
        <w:tblpPr w:leftFromText="180" w:rightFromText="180" w:vertAnchor="text" w:horzAnchor="page" w:tblpX="1166" w:tblpY="93"/>
        <w:tblOverlap w:val="never"/>
        <w:tblW w:w="99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5997"/>
        <w:gridCol w:w="1353"/>
        <w:gridCol w:w="1371"/>
      </w:tblGrid>
      <w:tr w14:paraId="0CDBF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179" w:type="dxa"/>
            <w:vAlign w:val="center"/>
          </w:tcPr>
          <w:p w14:paraId="4F1644F7">
            <w:pPr>
              <w:keepNext w:val="0"/>
              <w:keepLines w:val="0"/>
              <w:pageBreakBefore w:val="0"/>
              <w:widowControl w:val="0"/>
              <w:numPr>
                <w:ilvl w:val="0"/>
                <w:numId w:val="0"/>
              </w:numPr>
              <w:kinsoku/>
              <w:wordWrap/>
              <w:overflowPunct/>
              <w:topLinePunct w:val="0"/>
              <w:autoSpaceDE/>
              <w:autoSpaceDN/>
              <w:bidi w:val="0"/>
              <w:adjustRightInd/>
              <w:snapToGrid w:val="0"/>
              <w:spacing w:line="0" w:lineRule="atLeast"/>
              <w:ind w:right="0" w:right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项目名称</w:t>
            </w:r>
          </w:p>
        </w:tc>
        <w:tc>
          <w:tcPr>
            <w:tcW w:w="5997" w:type="dxa"/>
            <w:vAlign w:val="center"/>
          </w:tcPr>
          <w:p w14:paraId="5CFBD0B8">
            <w:pPr>
              <w:keepNext w:val="0"/>
              <w:keepLines w:val="0"/>
              <w:pageBreakBefore w:val="0"/>
              <w:widowControl w:val="0"/>
              <w:numPr>
                <w:ilvl w:val="0"/>
                <w:numId w:val="0"/>
              </w:numPr>
              <w:kinsoku/>
              <w:wordWrap/>
              <w:overflowPunct/>
              <w:topLinePunct w:val="0"/>
              <w:autoSpaceDE/>
              <w:autoSpaceDN/>
              <w:bidi w:val="0"/>
              <w:adjustRightInd/>
              <w:snapToGrid w:val="0"/>
              <w:spacing w:line="0" w:lineRule="atLeast"/>
              <w:ind w:right="0" w:right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工作内容</w:t>
            </w:r>
          </w:p>
        </w:tc>
        <w:tc>
          <w:tcPr>
            <w:tcW w:w="1353" w:type="dxa"/>
            <w:vAlign w:val="center"/>
          </w:tcPr>
          <w:p w14:paraId="325813A6">
            <w:pPr>
              <w:keepNext w:val="0"/>
              <w:keepLines w:val="0"/>
              <w:pageBreakBefore w:val="0"/>
              <w:widowControl w:val="0"/>
              <w:numPr>
                <w:ilvl w:val="0"/>
                <w:numId w:val="0"/>
              </w:numPr>
              <w:kinsoku/>
              <w:wordWrap/>
              <w:overflowPunct/>
              <w:topLinePunct w:val="0"/>
              <w:autoSpaceDE/>
              <w:autoSpaceDN/>
              <w:bidi w:val="0"/>
              <w:adjustRightInd/>
              <w:snapToGrid w:val="0"/>
              <w:spacing w:line="0" w:lineRule="atLeast"/>
              <w:ind w:right="0" w:right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最高限价</w:t>
            </w:r>
          </w:p>
        </w:tc>
        <w:tc>
          <w:tcPr>
            <w:tcW w:w="1371" w:type="dxa"/>
            <w:vAlign w:val="center"/>
          </w:tcPr>
          <w:p w14:paraId="61CDDFCD">
            <w:pPr>
              <w:keepNext w:val="0"/>
              <w:keepLines w:val="0"/>
              <w:pageBreakBefore w:val="0"/>
              <w:widowControl w:val="0"/>
              <w:numPr>
                <w:ilvl w:val="0"/>
                <w:numId w:val="0"/>
              </w:numPr>
              <w:kinsoku/>
              <w:wordWrap/>
              <w:overflowPunct/>
              <w:topLinePunct w:val="0"/>
              <w:autoSpaceDE/>
              <w:autoSpaceDN/>
              <w:bidi w:val="0"/>
              <w:adjustRightInd/>
              <w:snapToGrid w:val="0"/>
              <w:spacing w:line="0" w:lineRule="atLeast"/>
              <w:ind w:right="0" w:rightChars="0"/>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备注</w:t>
            </w:r>
          </w:p>
        </w:tc>
      </w:tr>
      <w:tr w14:paraId="3630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179" w:type="dxa"/>
            <w:vAlign w:val="center"/>
          </w:tcPr>
          <w:p w14:paraId="177B173B">
            <w:pPr>
              <w:keepNext w:val="0"/>
              <w:keepLines w:val="0"/>
              <w:pageBreakBefore w:val="0"/>
              <w:widowControl w:val="0"/>
              <w:numPr>
                <w:ilvl w:val="0"/>
                <w:numId w:val="0"/>
              </w:numPr>
              <w:kinsoku/>
              <w:wordWrap/>
              <w:overflowPunct/>
              <w:topLinePunct w:val="0"/>
              <w:autoSpaceDE/>
              <w:autoSpaceDN/>
              <w:bidi w:val="0"/>
              <w:adjustRightInd/>
              <w:snapToGrid w:val="0"/>
              <w:spacing w:line="0" w:lineRule="atLeast"/>
              <w:ind w:right="0" w:rightChars="0"/>
              <w:jc w:val="both"/>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“新双高项目管理与绩效评价平台”服务</w:t>
            </w:r>
          </w:p>
        </w:tc>
        <w:tc>
          <w:tcPr>
            <w:tcW w:w="5997" w:type="dxa"/>
            <w:vAlign w:val="center"/>
          </w:tcPr>
          <w:p w14:paraId="64C651C9">
            <w:pPr>
              <w:keepNext w:val="0"/>
              <w:keepLines w:val="0"/>
              <w:pageBreakBefore w:val="0"/>
              <w:widowControl w:val="0"/>
              <w:numPr>
                <w:ilvl w:val="0"/>
                <w:numId w:val="0"/>
              </w:numPr>
              <w:kinsoku/>
              <w:wordWrap/>
              <w:overflowPunct/>
              <w:topLinePunct w:val="0"/>
              <w:autoSpaceDE/>
              <w:autoSpaceDN/>
              <w:bidi w:val="0"/>
              <w:adjustRightInd/>
              <w:snapToGrid w:val="0"/>
              <w:spacing w:line="0" w:lineRule="atLeast"/>
              <w:ind w:right="0" w:rightChars="0"/>
              <w:jc w:val="both"/>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0F1115"/>
                <w:sz w:val="24"/>
                <w:shd w:val="clear" w:color="auto" w:fill="FFFFFF"/>
              </w:rPr>
              <w:t>平台为“双高”项目管理与绩效评价提供全流程数字化支撑，涵盖基础支撑服务、专项融合门户服务、项目新建与初始化、项目概览、任务、资金、绩效的全生命周期管理、关联图谱可视化、知识中心、标志性成果管理、个人工作中心、项目督办、进展报告生成、多维度数据分析、查询中心、材料汇编（PDF整合）、材料上报中心（对接省厅上报标准）、人员工作移交及移动端支撑（微信入口与消息推送），全面满足学校从建设过程管理到成果汇聚、数据上报的综合性需求</w:t>
            </w:r>
            <w:r>
              <w:rPr>
                <w:rFonts w:hint="eastAsia" w:ascii="宋体" w:hAnsi="宋体" w:eastAsia="宋体" w:cs="宋体"/>
                <w:color w:val="0F1115"/>
                <w:sz w:val="24"/>
                <w:shd w:val="clear" w:color="auto" w:fill="FFFFFF"/>
                <w:lang w:eastAsia="zh-CN"/>
              </w:rPr>
              <w:t>。</w:t>
            </w:r>
          </w:p>
        </w:tc>
        <w:tc>
          <w:tcPr>
            <w:tcW w:w="1353" w:type="dxa"/>
            <w:vAlign w:val="center"/>
          </w:tcPr>
          <w:p w14:paraId="68BD7107">
            <w:pPr>
              <w:keepNext w:val="0"/>
              <w:keepLines w:val="0"/>
              <w:pageBreakBefore w:val="0"/>
              <w:widowControl w:val="0"/>
              <w:numPr>
                <w:ilvl w:val="0"/>
                <w:numId w:val="0"/>
              </w:numPr>
              <w:kinsoku/>
              <w:wordWrap/>
              <w:overflowPunct/>
              <w:topLinePunct w:val="0"/>
              <w:autoSpaceDE/>
              <w:autoSpaceDN/>
              <w:bidi w:val="0"/>
              <w:adjustRightInd/>
              <w:snapToGrid w:val="0"/>
              <w:spacing w:line="0" w:lineRule="atLeast"/>
              <w:ind w:right="0" w:rightChars="0"/>
              <w:jc w:val="center"/>
              <w:textAlignment w:val="auto"/>
              <w:rPr>
                <w:rFonts w:hint="eastAsia" w:ascii="宋体" w:hAnsi="宋体" w:eastAsia="宋体" w:cs="宋体"/>
                <w:b w:val="0"/>
                <w:bCs w:val="0"/>
                <w:color w:val="auto"/>
                <w:sz w:val="28"/>
                <w:szCs w:val="28"/>
                <w:vertAlign w:val="baseline"/>
                <w:lang w:val="en-US" w:eastAsia="zh-CN"/>
              </w:rPr>
            </w:pPr>
            <w:r>
              <w:rPr>
                <w:rFonts w:hint="eastAsia" w:ascii="宋体" w:hAnsi="宋体" w:eastAsia="宋体" w:cs="宋体"/>
                <w:color w:val="auto"/>
                <w:sz w:val="21"/>
                <w:szCs w:val="21"/>
                <w:vertAlign w:val="baseline"/>
                <w:lang w:val="en-US" w:eastAsia="zh-CN"/>
              </w:rPr>
              <w:t>8.8万元</w:t>
            </w:r>
          </w:p>
        </w:tc>
        <w:tc>
          <w:tcPr>
            <w:tcW w:w="1371" w:type="dxa"/>
            <w:vAlign w:val="center"/>
          </w:tcPr>
          <w:p w14:paraId="59A0DCC5">
            <w:pPr>
              <w:keepNext w:val="0"/>
              <w:keepLines w:val="0"/>
              <w:pageBreakBefore w:val="0"/>
              <w:widowControl w:val="0"/>
              <w:numPr>
                <w:ilvl w:val="0"/>
                <w:numId w:val="0"/>
              </w:numPr>
              <w:kinsoku/>
              <w:wordWrap/>
              <w:overflowPunct/>
              <w:topLinePunct w:val="0"/>
              <w:autoSpaceDE/>
              <w:autoSpaceDN/>
              <w:bidi w:val="0"/>
              <w:adjustRightInd/>
              <w:snapToGrid w:val="0"/>
              <w:spacing w:line="0" w:lineRule="atLeast"/>
              <w:ind w:right="0" w:rightChars="0"/>
              <w:jc w:val="both"/>
              <w:textAlignment w:val="auto"/>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1"/>
                <w:szCs w:val="21"/>
                <w:vertAlign w:val="baseline"/>
                <w:lang w:val="en-US" w:eastAsia="zh-CN"/>
              </w:rPr>
              <w:t>具体要求参见：《浙江省教育厅 浙江省财政厅关于公布第二期高职高水平专业群积业建设名单的通知》（浙教职成〔2025〕45号）</w:t>
            </w:r>
          </w:p>
        </w:tc>
      </w:tr>
    </w:tbl>
    <w:p w14:paraId="41CDFCD4">
      <w:pPr>
        <w:numPr>
          <w:ilvl w:val="0"/>
          <w:numId w:val="1"/>
        </w:numPr>
        <w:bidi w:val="0"/>
        <w:ind w:firstLine="562" w:firstLineChars="200"/>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资质要求</w:t>
      </w:r>
    </w:p>
    <w:p w14:paraId="2A94F0AB">
      <w:pPr>
        <w:keepNext w:val="0"/>
        <w:keepLines w:val="0"/>
        <w:pageBreakBefore w:val="0"/>
        <w:widowControl w:val="0"/>
        <w:numPr>
          <w:ilvl w:val="0"/>
          <w:numId w:val="0"/>
        </w:numPr>
        <w:kinsoku/>
        <w:wordWrap/>
        <w:overflowPunct/>
        <w:topLinePunct w:val="0"/>
        <w:autoSpaceDE/>
        <w:autoSpaceDN/>
        <w:bidi w:val="0"/>
        <w:adjustRightInd/>
        <w:snapToGrid w:val="0"/>
        <w:spacing w:line="0" w:lineRule="atLeast"/>
        <w:ind w:right="0" w:rightChars="0" w:firstLine="560" w:firstLineChars="200"/>
        <w:jc w:val="both"/>
        <w:textAlignment w:val="auto"/>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入围“新双高项目管理与绩效评价平台”服务项目供应商名单，并提供以下证明文件（均加盖本单位公章）：</w:t>
      </w:r>
    </w:p>
    <w:p w14:paraId="1BCE04DC">
      <w:pPr>
        <w:keepNext w:val="0"/>
        <w:keepLines w:val="0"/>
        <w:pageBreakBefore w:val="0"/>
        <w:widowControl w:val="0"/>
        <w:numPr>
          <w:ilvl w:val="0"/>
          <w:numId w:val="0"/>
        </w:numPr>
        <w:kinsoku/>
        <w:wordWrap/>
        <w:overflowPunct/>
        <w:topLinePunct w:val="0"/>
        <w:autoSpaceDE/>
        <w:autoSpaceDN/>
        <w:bidi w:val="0"/>
        <w:adjustRightInd/>
        <w:snapToGrid w:val="0"/>
        <w:spacing w:line="0" w:lineRule="atLeast"/>
        <w:ind w:right="0" w:rightChars="0" w:firstLine="560" w:firstLineChars="200"/>
        <w:jc w:val="both"/>
        <w:textAlignment w:val="auto"/>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（1）公司情况简介（成立时间、注册资本、持证人员规模，承接高校经济责任等大型专项审计案例）。</w:t>
      </w:r>
    </w:p>
    <w:p w14:paraId="0E6354F1">
      <w:pPr>
        <w:keepNext w:val="0"/>
        <w:keepLines w:val="0"/>
        <w:pageBreakBefore w:val="0"/>
        <w:widowControl w:val="0"/>
        <w:numPr>
          <w:ilvl w:val="0"/>
          <w:numId w:val="0"/>
        </w:numPr>
        <w:kinsoku/>
        <w:wordWrap/>
        <w:overflowPunct/>
        <w:topLinePunct w:val="0"/>
        <w:autoSpaceDE/>
        <w:autoSpaceDN/>
        <w:bidi w:val="0"/>
        <w:adjustRightInd/>
        <w:snapToGrid w:val="0"/>
        <w:spacing w:line="0" w:lineRule="atLeast"/>
        <w:ind w:right="0" w:rightChars="0" w:firstLine="560" w:firstLineChars="200"/>
        <w:jc w:val="both"/>
        <w:textAlignment w:val="auto"/>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（2）营业执照复印件。</w:t>
      </w:r>
    </w:p>
    <w:p w14:paraId="052B3E2F">
      <w:pPr>
        <w:keepNext w:val="0"/>
        <w:keepLines w:val="0"/>
        <w:pageBreakBefore w:val="0"/>
        <w:widowControl w:val="0"/>
        <w:numPr>
          <w:ilvl w:val="0"/>
          <w:numId w:val="0"/>
        </w:numPr>
        <w:kinsoku/>
        <w:wordWrap/>
        <w:overflowPunct/>
        <w:topLinePunct w:val="0"/>
        <w:autoSpaceDE/>
        <w:autoSpaceDN/>
        <w:bidi w:val="0"/>
        <w:adjustRightInd/>
        <w:snapToGrid w:val="0"/>
        <w:spacing w:line="0" w:lineRule="atLeast"/>
        <w:ind w:right="0" w:rightChars="0" w:firstLine="560" w:firstLineChars="200"/>
        <w:jc w:val="both"/>
        <w:textAlignment w:val="auto"/>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（3）报价书（见附件）。</w:t>
      </w:r>
    </w:p>
    <w:p w14:paraId="0320D950">
      <w:pPr>
        <w:numPr>
          <w:ilvl w:val="0"/>
          <w:numId w:val="1"/>
        </w:numPr>
        <w:bidi w:val="0"/>
        <w:ind w:firstLine="562" w:firstLineChars="200"/>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报价方式</w:t>
      </w:r>
    </w:p>
    <w:p w14:paraId="4B067354">
      <w:pPr>
        <w:keepNext w:val="0"/>
        <w:keepLines w:val="0"/>
        <w:pageBreakBefore w:val="0"/>
        <w:widowControl w:val="0"/>
        <w:numPr>
          <w:ilvl w:val="0"/>
          <w:numId w:val="0"/>
        </w:numPr>
        <w:kinsoku/>
        <w:wordWrap/>
        <w:overflowPunct/>
        <w:topLinePunct w:val="0"/>
        <w:autoSpaceDE/>
        <w:autoSpaceDN/>
        <w:bidi w:val="0"/>
        <w:adjustRightInd/>
        <w:snapToGrid w:val="0"/>
        <w:spacing w:line="0" w:lineRule="atLeast"/>
        <w:ind w:right="0" w:rightChars="0" w:firstLine="560" w:firstLineChars="200"/>
        <w:jc w:val="both"/>
        <w:textAlignment w:val="auto"/>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拟参与此项目，如报价前有疑问可来电咨询。请于2026年7月1</w:t>
      </w:r>
      <w:r>
        <w:rPr>
          <w:rFonts w:hint="eastAsia" w:ascii="宋体" w:hAnsi="宋体" w:cs="宋体"/>
          <w:color w:val="auto"/>
          <w:sz w:val="28"/>
          <w:szCs w:val="28"/>
          <w:vertAlign w:val="baseline"/>
          <w:lang w:val="en-US" w:eastAsia="zh-CN"/>
        </w:rPr>
        <w:t>5</w:t>
      </w:r>
      <w:r>
        <w:rPr>
          <w:rFonts w:hint="eastAsia" w:ascii="宋体" w:hAnsi="宋体" w:eastAsia="宋体" w:cs="宋体"/>
          <w:color w:val="auto"/>
          <w:sz w:val="28"/>
          <w:szCs w:val="28"/>
          <w:vertAlign w:val="baseline"/>
          <w:lang w:val="en-US" w:eastAsia="zh-CN"/>
        </w:rPr>
        <w:t>日17时前将最终报价书（必须标明明确价格）及相关证明文件递交至浙江省东阳市广福东街1号浙江广厦建设职业技术大学。</w:t>
      </w:r>
    </w:p>
    <w:p w14:paraId="2F6049AB">
      <w:pPr>
        <w:numPr>
          <w:ilvl w:val="0"/>
          <w:numId w:val="1"/>
        </w:numPr>
        <w:bidi w:val="0"/>
        <w:ind w:firstLine="562" w:firstLineChars="200"/>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项目联系人及联系方式</w:t>
      </w:r>
    </w:p>
    <w:p w14:paraId="62437368">
      <w:pPr>
        <w:keepNext w:val="0"/>
        <w:keepLines w:val="0"/>
        <w:pageBreakBefore w:val="0"/>
        <w:widowControl w:val="0"/>
        <w:numPr>
          <w:ilvl w:val="0"/>
          <w:numId w:val="0"/>
        </w:numPr>
        <w:kinsoku/>
        <w:wordWrap/>
        <w:overflowPunct/>
        <w:topLinePunct w:val="0"/>
        <w:autoSpaceDE/>
        <w:autoSpaceDN/>
        <w:bidi w:val="0"/>
        <w:adjustRightInd/>
        <w:snapToGrid w:val="0"/>
        <w:spacing w:line="0" w:lineRule="atLeast"/>
        <w:ind w:right="0" w:rightChars="0" w:firstLine="560" w:firstLineChars="200"/>
        <w:jc w:val="both"/>
        <w:textAlignment w:val="auto"/>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联系人：张</w:t>
      </w:r>
      <w:r>
        <w:rPr>
          <w:rFonts w:hint="eastAsia" w:ascii="宋体" w:hAnsi="宋体" w:cs="宋体"/>
          <w:color w:val="auto"/>
          <w:sz w:val="28"/>
          <w:szCs w:val="28"/>
          <w:vertAlign w:val="baseline"/>
          <w:lang w:val="en-US" w:eastAsia="zh-CN"/>
        </w:rPr>
        <w:t>老师</w:t>
      </w:r>
      <w:r>
        <w:rPr>
          <w:rFonts w:hint="eastAsia" w:ascii="宋体" w:hAnsi="宋体" w:eastAsia="宋体" w:cs="宋体"/>
          <w:color w:val="auto"/>
          <w:sz w:val="28"/>
          <w:szCs w:val="28"/>
          <w:vertAlign w:val="baseline"/>
          <w:lang w:val="en-US" w:eastAsia="zh-CN"/>
        </w:rPr>
        <w:t xml:space="preserve">  朱</w:t>
      </w:r>
      <w:r>
        <w:rPr>
          <w:rFonts w:hint="eastAsia" w:ascii="宋体" w:hAnsi="宋体" w:cs="宋体"/>
          <w:color w:val="auto"/>
          <w:sz w:val="28"/>
          <w:szCs w:val="28"/>
          <w:vertAlign w:val="baseline"/>
          <w:lang w:val="en-US" w:eastAsia="zh-CN"/>
        </w:rPr>
        <w:t>老师</w:t>
      </w:r>
      <w:bookmarkStart w:id="0" w:name="_GoBack"/>
      <w:bookmarkEnd w:id="0"/>
      <w:r>
        <w:rPr>
          <w:rFonts w:hint="eastAsia" w:ascii="宋体" w:hAnsi="宋体" w:eastAsia="宋体" w:cs="宋体"/>
          <w:color w:val="auto"/>
          <w:sz w:val="28"/>
          <w:szCs w:val="28"/>
          <w:vertAlign w:val="baseline"/>
          <w:lang w:val="en-US" w:eastAsia="zh-CN"/>
        </w:rPr>
        <w:t xml:space="preserve">       电话：0579-86668869，15267477755；</w:t>
      </w:r>
    </w:p>
    <w:p w14:paraId="05E6EC77">
      <w:pPr>
        <w:keepNext w:val="0"/>
        <w:keepLines w:val="0"/>
        <w:pageBreakBefore w:val="0"/>
        <w:widowControl w:val="0"/>
        <w:numPr>
          <w:ilvl w:val="0"/>
          <w:numId w:val="0"/>
        </w:numPr>
        <w:kinsoku/>
        <w:wordWrap/>
        <w:overflowPunct/>
        <w:topLinePunct w:val="0"/>
        <w:autoSpaceDE/>
        <w:autoSpaceDN/>
        <w:bidi w:val="0"/>
        <w:adjustRightInd/>
        <w:snapToGrid w:val="0"/>
        <w:spacing w:line="0" w:lineRule="atLeast"/>
        <w:ind w:right="0" w:rightChars="0" w:firstLine="560" w:firstLineChars="200"/>
        <w:jc w:val="right"/>
        <w:textAlignment w:val="auto"/>
        <w:rPr>
          <w:rFonts w:hint="eastAsia" w:ascii="宋体" w:hAnsi="宋体" w:eastAsia="宋体" w:cs="宋体"/>
          <w:color w:val="auto"/>
          <w:sz w:val="28"/>
          <w:szCs w:val="28"/>
          <w:vertAlign w:val="baseline"/>
          <w:lang w:val="en-US" w:eastAsia="zh-CN"/>
        </w:rPr>
      </w:pPr>
    </w:p>
    <w:p w14:paraId="44B64532">
      <w:pPr>
        <w:keepNext w:val="0"/>
        <w:keepLines w:val="0"/>
        <w:pageBreakBefore w:val="0"/>
        <w:widowControl w:val="0"/>
        <w:numPr>
          <w:ilvl w:val="0"/>
          <w:numId w:val="0"/>
        </w:numPr>
        <w:kinsoku/>
        <w:wordWrap/>
        <w:overflowPunct/>
        <w:topLinePunct w:val="0"/>
        <w:autoSpaceDE/>
        <w:autoSpaceDN/>
        <w:bidi w:val="0"/>
        <w:adjustRightInd/>
        <w:snapToGrid w:val="0"/>
        <w:spacing w:line="0" w:lineRule="atLeast"/>
        <w:ind w:right="0" w:rightChars="0" w:firstLine="560" w:firstLineChars="200"/>
        <w:jc w:val="right"/>
        <w:textAlignment w:val="auto"/>
        <w:rPr>
          <w:rFonts w:hint="eastAsia" w:ascii="宋体" w:hAnsi="宋体" w:eastAsia="宋体" w:cs="宋体"/>
          <w:color w:val="auto"/>
          <w:sz w:val="28"/>
          <w:szCs w:val="28"/>
          <w:vertAlign w:val="baseline"/>
          <w:lang w:val="en-US" w:eastAsia="zh-CN"/>
        </w:rPr>
      </w:pPr>
    </w:p>
    <w:p w14:paraId="282FBB93">
      <w:pPr>
        <w:keepNext w:val="0"/>
        <w:keepLines w:val="0"/>
        <w:pageBreakBefore w:val="0"/>
        <w:widowControl w:val="0"/>
        <w:numPr>
          <w:ilvl w:val="0"/>
          <w:numId w:val="0"/>
        </w:numPr>
        <w:kinsoku/>
        <w:wordWrap/>
        <w:overflowPunct/>
        <w:topLinePunct w:val="0"/>
        <w:autoSpaceDE/>
        <w:autoSpaceDN/>
        <w:bidi w:val="0"/>
        <w:adjustRightInd/>
        <w:snapToGrid w:val="0"/>
        <w:spacing w:line="0" w:lineRule="atLeast"/>
        <w:ind w:right="0" w:rightChars="0" w:firstLine="560" w:firstLineChars="200"/>
        <w:jc w:val="right"/>
        <w:textAlignment w:val="auto"/>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浙江广厦建设职业技术大学</w:t>
      </w:r>
    </w:p>
    <w:p w14:paraId="065DE8F8">
      <w:pPr>
        <w:keepNext w:val="0"/>
        <w:keepLines w:val="0"/>
        <w:pageBreakBefore w:val="0"/>
        <w:widowControl w:val="0"/>
        <w:numPr>
          <w:ilvl w:val="0"/>
          <w:numId w:val="0"/>
        </w:numPr>
        <w:kinsoku/>
        <w:wordWrap/>
        <w:overflowPunct/>
        <w:topLinePunct w:val="0"/>
        <w:autoSpaceDE/>
        <w:autoSpaceDN/>
        <w:bidi w:val="0"/>
        <w:adjustRightInd/>
        <w:snapToGrid w:val="0"/>
        <w:spacing w:line="0" w:lineRule="atLeast"/>
        <w:ind w:right="0" w:rightChars="0" w:firstLine="560" w:firstLineChars="200"/>
        <w:jc w:val="right"/>
        <w:textAlignment w:val="auto"/>
        <w:rPr>
          <w:rFonts w:hint="eastAsia" w:ascii="宋体" w:hAnsi="宋体" w:eastAsia="宋体" w:cs="宋体"/>
          <w:color w:val="auto"/>
          <w:sz w:val="28"/>
          <w:szCs w:val="28"/>
          <w:vertAlign w:val="baseline"/>
          <w:lang w:val="en-US" w:eastAsia="zh-CN"/>
        </w:rPr>
      </w:pPr>
      <w:r>
        <w:rPr>
          <w:rFonts w:hint="eastAsia" w:ascii="宋体" w:hAnsi="宋体" w:eastAsia="宋体" w:cs="宋体"/>
          <w:color w:val="auto"/>
          <w:sz w:val="28"/>
          <w:szCs w:val="28"/>
          <w:vertAlign w:val="baseline"/>
          <w:lang w:val="en-US" w:eastAsia="zh-CN"/>
        </w:rPr>
        <w:t>2026年7月9日</w:t>
      </w:r>
    </w:p>
    <w:p w14:paraId="2272BDC0">
      <w:pPr>
        <w:rPr>
          <w:rFonts w:hint="eastAsia" w:ascii="宋体" w:hAnsi="宋体"/>
          <w:color w:val="auto"/>
          <w:kern w:val="2"/>
          <w:sz w:val="28"/>
          <w:szCs w:val="28"/>
          <w:lang w:val="en-US" w:eastAsia="zh-CN" w:bidi="ar-SA"/>
        </w:rPr>
      </w:pPr>
      <w:r>
        <w:rPr>
          <w:rFonts w:hint="eastAsia" w:ascii="宋体" w:hAnsi="宋体"/>
          <w:color w:val="auto"/>
          <w:kern w:val="2"/>
          <w:sz w:val="28"/>
          <w:szCs w:val="28"/>
          <w:lang w:val="en-US" w:eastAsia="zh-CN" w:bidi="ar-SA"/>
        </w:rPr>
        <w:br w:type="page"/>
      </w:r>
    </w:p>
    <w:p w14:paraId="2CF243B8">
      <w:pPr>
        <w:pStyle w:val="9"/>
        <w:numPr>
          <w:ilvl w:val="0"/>
          <w:numId w:val="0"/>
        </w:numPr>
        <w:rPr>
          <w:rFonts w:hint="eastAsia" w:ascii="宋体" w:hAnsi="宋体"/>
          <w:color w:val="auto"/>
          <w:kern w:val="2"/>
          <w:sz w:val="28"/>
          <w:szCs w:val="28"/>
          <w:lang w:val="en-US" w:eastAsia="zh-CN" w:bidi="ar-SA"/>
        </w:rPr>
      </w:pPr>
      <w:r>
        <w:rPr>
          <w:rFonts w:hint="eastAsia" w:ascii="宋体" w:hAnsi="宋体"/>
          <w:color w:val="auto"/>
          <w:kern w:val="2"/>
          <w:sz w:val="28"/>
          <w:szCs w:val="28"/>
          <w:lang w:val="en-US" w:eastAsia="zh-CN" w:bidi="ar-SA"/>
        </w:rPr>
        <w:t>附件：</w:t>
      </w:r>
    </w:p>
    <w:p w14:paraId="2E21E487">
      <w:pPr>
        <w:pStyle w:val="9"/>
        <w:numPr>
          <w:ilvl w:val="0"/>
          <w:numId w:val="0"/>
        </w:numPr>
        <w:spacing w:line="360" w:lineRule="auto"/>
        <w:jc w:val="center"/>
        <w:rPr>
          <w:rFonts w:hint="eastAsia" w:ascii="宋体" w:hAnsi="宋体" w:cs="宋体"/>
          <w:b/>
          <w:bCs/>
          <w:color w:val="auto"/>
          <w:sz w:val="32"/>
          <w:szCs w:val="32"/>
          <w:lang w:val="en-US" w:eastAsia="zh-CN"/>
        </w:rPr>
      </w:pPr>
      <w:r>
        <w:rPr>
          <w:rFonts w:hint="eastAsia" w:ascii="宋体" w:hAnsi="宋体" w:cs="宋体"/>
          <w:b/>
          <w:bCs/>
          <w:color w:val="auto"/>
          <w:sz w:val="32"/>
          <w:szCs w:val="32"/>
          <w:lang w:val="en-US" w:eastAsia="zh-CN"/>
        </w:rPr>
        <w:t>“新双高项目管理与绩效评价平台”服务</w:t>
      </w:r>
    </w:p>
    <w:p w14:paraId="68C58E22">
      <w:pPr>
        <w:pStyle w:val="9"/>
        <w:numPr>
          <w:ilvl w:val="0"/>
          <w:numId w:val="0"/>
        </w:numPr>
        <w:jc w:val="center"/>
        <w:rPr>
          <w:rFonts w:hint="default" w:ascii="宋体" w:hAnsi="宋体"/>
          <w:color w:val="auto"/>
          <w:kern w:val="2"/>
          <w:sz w:val="28"/>
          <w:szCs w:val="28"/>
          <w:lang w:val="en-US" w:eastAsia="zh-CN" w:bidi="ar-SA"/>
        </w:rPr>
      </w:pPr>
      <w:r>
        <w:rPr>
          <w:rFonts w:hint="eastAsia" w:ascii="黑体" w:hAnsi="黑体" w:eastAsia="黑体"/>
          <w:color w:val="auto"/>
          <w:sz w:val="32"/>
          <w:szCs w:val="32"/>
          <w:lang w:val="en-US" w:eastAsia="zh-CN"/>
        </w:rPr>
        <w:t>报价表</w:t>
      </w:r>
    </w:p>
    <w:tbl>
      <w:tblPr>
        <w:tblStyle w:val="12"/>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2"/>
        <w:gridCol w:w="3402"/>
        <w:gridCol w:w="4061"/>
        <w:gridCol w:w="766"/>
      </w:tblGrid>
      <w:tr w14:paraId="65832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pct"/>
            <w:vAlign w:val="center"/>
          </w:tcPr>
          <w:p w14:paraId="6E0E2CE4">
            <w:pPr>
              <w:pStyle w:val="9"/>
              <w:keepNext w:val="0"/>
              <w:keepLines w:val="0"/>
              <w:pageBreakBefore w:val="0"/>
              <w:widowControl w:val="0"/>
              <w:numPr>
                <w:ilvl w:val="0"/>
                <w:numId w:val="0"/>
              </w:numPr>
              <w:kinsoku/>
              <w:wordWrap/>
              <w:overflowPunct/>
              <w:topLinePunct w:val="0"/>
              <w:autoSpaceDE/>
              <w:autoSpaceDN/>
              <w:bidi w:val="0"/>
              <w:adjustRightInd/>
              <w:snapToGrid/>
              <w:spacing w:line="0" w:lineRule="atLeast"/>
              <w:jc w:val="center"/>
              <w:textAlignment w:val="auto"/>
              <w:rPr>
                <w:rFonts w:hint="eastAsia" w:ascii="宋体" w:hAnsi="宋体"/>
                <w:color w:val="auto"/>
                <w:kern w:val="2"/>
                <w:sz w:val="28"/>
                <w:szCs w:val="28"/>
                <w:vertAlign w:val="baseline"/>
                <w:lang w:val="en-US" w:eastAsia="zh-CN" w:bidi="ar-SA"/>
              </w:rPr>
            </w:pPr>
            <w:r>
              <w:rPr>
                <w:rFonts w:hint="eastAsia" w:ascii="宋体" w:hAnsi="宋体"/>
                <w:color w:val="auto"/>
                <w:kern w:val="2"/>
                <w:sz w:val="28"/>
                <w:szCs w:val="28"/>
                <w:vertAlign w:val="baseline"/>
                <w:lang w:val="en-US" w:eastAsia="zh-CN" w:bidi="ar-SA"/>
              </w:rPr>
              <w:t>序号</w:t>
            </w:r>
          </w:p>
        </w:tc>
        <w:tc>
          <w:tcPr>
            <w:tcW w:w="1779" w:type="pct"/>
            <w:vAlign w:val="center"/>
          </w:tcPr>
          <w:p w14:paraId="60FD6702">
            <w:pPr>
              <w:pStyle w:val="9"/>
              <w:keepNext w:val="0"/>
              <w:keepLines w:val="0"/>
              <w:pageBreakBefore w:val="0"/>
              <w:widowControl w:val="0"/>
              <w:numPr>
                <w:ilvl w:val="0"/>
                <w:numId w:val="0"/>
              </w:numPr>
              <w:kinsoku/>
              <w:wordWrap/>
              <w:overflowPunct/>
              <w:topLinePunct w:val="0"/>
              <w:autoSpaceDE/>
              <w:autoSpaceDN/>
              <w:bidi w:val="0"/>
              <w:adjustRightInd/>
              <w:snapToGrid/>
              <w:spacing w:line="0" w:lineRule="atLeast"/>
              <w:jc w:val="center"/>
              <w:textAlignment w:val="auto"/>
              <w:rPr>
                <w:rFonts w:hint="eastAsia" w:ascii="宋体" w:hAnsi="宋体"/>
                <w:color w:val="auto"/>
                <w:kern w:val="2"/>
                <w:sz w:val="28"/>
                <w:szCs w:val="28"/>
                <w:vertAlign w:val="baseline"/>
                <w:lang w:val="en-US" w:eastAsia="zh-CN" w:bidi="ar-SA"/>
              </w:rPr>
            </w:pPr>
            <w:r>
              <w:rPr>
                <w:rFonts w:hint="eastAsia" w:ascii="宋体" w:hAnsi="宋体"/>
                <w:color w:val="auto"/>
                <w:kern w:val="2"/>
                <w:sz w:val="28"/>
                <w:szCs w:val="28"/>
                <w:vertAlign w:val="baseline"/>
                <w:lang w:val="en-US" w:eastAsia="zh-CN" w:bidi="ar-SA"/>
              </w:rPr>
              <w:t>审计项目名称</w:t>
            </w:r>
          </w:p>
        </w:tc>
        <w:tc>
          <w:tcPr>
            <w:tcW w:w="2123" w:type="pct"/>
            <w:vAlign w:val="center"/>
          </w:tcPr>
          <w:p w14:paraId="4CEF17C9">
            <w:pPr>
              <w:pStyle w:val="9"/>
              <w:keepNext w:val="0"/>
              <w:keepLines w:val="0"/>
              <w:pageBreakBefore w:val="0"/>
              <w:widowControl w:val="0"/>
              <w:numPr>
                <w:ilvl w:val="0"/>
                <w:numId w:val="0"/>
              </w:numPr>
              <w:kinsoku/>
              <w:wordWrap/>
              <w:overflowPunct/>
              <w:topLinePunct w:val="0"/>
              <w:autoSpaceDE/>
              <w:autoSpaceDN/>
              <w:bidi w:val="0"/>
              <w:adjustRightInd/>
              <w:snapToGrid/>
              <w:spacing w:line="0" w:lineRule="atLeast"/>
              <w:jc w:val="center"/>
              <w:textAlignment w:val="auto"/>
              <w:rPr>
                <w:rFonts w:hint="eastAsia" w:ascii="宋体" w:hAnsi="宋体"/>
                <w:color w:val="auto"/>
                <w:kern w:val="2"/>
                <w:sz w:val="28"/>
                <w:szCs w:val="28"/>
                <w:vertAlign w:val="baseline"/>
                <w:lang w:val="en-US" w:eastAsia="zh-CN" w:bidi="ar-SA"/>
              </w:rPr>
            </w:pPr>
            <w:r>
              <w:rPr>
                <w:rFonts w:hint="eastAsia" w:ascii="宋体" w:hAnsi="宋体"/>
                <w:color w:val="auto"/>
                <w:kern w:val="2"/>
                <w:sz w:val="28"/>
                <w:szCs w:val="28"/>
                <w:vertAlign w:val="baseline"/>
                <w:lang w:val="en-US" w:eastAsia="zh-CN" w:bidi="ar-SA"/>
              </w:rPr>
              <w:t>报价（元）</w:t>
            </w:r>
          </w:p>
        </w:tc>
        <w:tc>
          <w:tcPr>
            <w:tcW w:w="400" w:type="pct"/>
            <w:vAlign w:val="center"/>
          </w:tcPr>
          <w:p w14:paraId="49D6DD74">
            <w:pPr>
              <w:pStyle w:val="9"/>
              <w:keepNext w:val="0"/>
              <w:keepLines w:val="0"/>
              <w:pageBreakBefore w:val="0"/>
              <w:widowControl w:val="0"/>
              <w:numPr>
                <w:ilvl w:val="0"/>
                <w:numId w:val="0"/>
              </w:numPr>
              <w:kinsoku/>
              <w:wordWrap/>
              <w:overflowPunct/>
              <w:topLinePunct w:val="0"/>
              <w:autoSpaceDE/>
              <w:autoSpaceDN/>
              <w:bidi w:val="0"/>
              <w:adjustRightInd/>
              <w:snapToGrid/>
              <w:spacing w:line="0" w:lineRule="atLeast"/>
              <w:jc w:val="center"/>
              <w:textAlignment w:val="auto"/>
              <w:rPr>
                <w:rFonts w:hint="eastAsia" w:ascii="宋体" w:hAnsi="宋体"/>
                <w:color w:val="auto"/>
                <w:kern w:val="2"/>
                <w:sz w:val="28"/>
                <w:szCs w:val="28"/>
                <w:vertAlign w:val="baseline"/>
                <w:lang w:val="en-US" w:eastAsia="zh-CN" w:bidi="ar-SA"/>
              </w:rPr>
            </w:pPr>
            <w:r>
              <w:rPr>
                <w:rFonts w:hint="eastAsia" w:ascii="宋体" w:hAnsi="宋体"/>
                <w:color w:val="auto"/>
                <w:kern w:val="2"/>
                <w:sz w:val="28"/>
                <w:szCs w:val="28"/>
                <w:vertAlign w:val="baseline"/>
                <w:lang w:val="en-US" w:eastAsia="zh-CN" w:bidi="ar-SA"/>
              </w:rPr>
              <w:t>备注</w:t>
            </w:r>
          </w:p>
        </w:tc>
      </w:tr>
      <w:tr w14:paraId="618A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pct"/>
            <w:vAlign w:val="center"/>
          </w:tcPr>
          <w:p w14:paraId="53FC4195">
            <w:pPr>
              <w:pStyle w:val="9"/>
              <w:numPr>
                <w:ilvl w:val="0"/>
                <w:numId w:val="0"/>
              </w:numPr>
              <w:jc w:val="center"/>
              <w:rPr>
                <w:rFonts w:hint="eastAsia" w:ascii="宋体" w:hAnsi="宋体"/>
                <w:color w:val="auto"/>
                <w:kern w:val="2"/>
                <w:sz w:val="28"/>
                <w:szCs w:val="28"/>
                <w:vertAlign w:val="baseline"/>
                <w:lang w:val="en-US" w:eastAsia="zh-CN" w:bidi="ar-SA"/>
              </w:rPr>
            </w:pPr>
            <w:r>
              <w:rPr>
                <w:rFonts w:hint="eastAsia" w:ascii="宋体" w:hAnsi="宋体"/>
                <w:color w:val="auto"/>
                <w:kern w:val="2"/>
                <w:sz w:val="28"/>
                <w:szCs w:val="28"/>
                <w:vertAlign w:val="baseline"/>
                <w:lang w:val="en-US" w:eastAsia="zh-CN" w:bidi="ar-SA"/>
              </w:rPr>
              <w:t>1</w:t>
            </w:r>
          </w:p>
        </w:tc>
        <w:tc>
          <w:tcPr>
            <w:tcW w:w="1779" w:type="pct"/>
            <w:vAlign w:val="center"/>
          </w:tcPr>
          <w:p w14:paraId="6EFDBECE">
            <w:pPr>
              <w:pStyle w:val="9"/>
              <w:numPr>
                <w:ilvl w:val="0"/>
                <w:numId w:val="0"/>
              </w:numPr>
              <w:spacing w:line="360" w:lineRule="auto"/>
              <w:rPr>
                <w:rFonts w:hint="eastAsia" w:ascii="宋体" w:hAnsi="宋体" w:eastAsia="宋体"/>
                <w:color w:val="auto"/>
                <w:sz w:val="28"/>
                <w:szCs w:val="28"/>
                <w:lang w:val="en-US" w:eastAsia="zh-CN"/>
              </w:rPr>
            </w:pPr>
            <w:r>
              <w:rPr>
                <w:rFonts w:hint="eastAsia" w:ascii="宋体" w:hAnsi="宋体" w:eastAsia="宋体"/>
                <w:color w:val="auto"/>
                <w:sz w:val="28"/>
                <w:szCs w:val="28"/>
                <w:lang w:val="en-US" w:eastAsia="zh-CN"/>
              </w:rPr>
              <w:t>“新双高项目管理与绩效评价平台”服务</w:t>
            </w:r>
          </w:p>
        </w:tc>
        <w:tc>
          <w:tcPr>
            <w:tcW w:w="2123" w:type="pct"/>
            <w:vAlign w:val="center"/>
          </w:tcPr>
          <w:p w14:paraId="00D53BEC">
            <w:pPr>
              <w:pStyle w:val="9"/>
              <w:numPr>
                <w:ilvl w:val="0"/>
                <w:numId w:val="0"/>
              </w:numPr>
              <w:jc w:val="center"/>
              <w:rPr>
                <w:rFonts w:ascii="宋体" w:hAnsi="宋体"/>
                <w:color w:val="auto"/>
                <w:kern w:val="2"/>
                <w:sz w:val="30"/>
                <w:szCs w:val="30"/>
                <w:vertAlign w:val="baseline"/>
                <w:lang w:val="en-US" w:eastAsia="zh-CN" w:bidi="ar-SA"/>
              </w:rPr>
            </w:pPr>
          </w:p>
        </w:tc>
        <w:tc>
          <w:tcPr>
            <w:tcW w:w="400" w:type="pct"/>
            <w:vAlign w:val="center"/>
          </w:tcPr>
          <w:p w14:paraId="06DC142A">
            <w:pPr>
              <w:pStyle w:val="9"/>
              <w:numPr>
                <w:ilvl w:val="0"/>
                <w:numId w:val="0"/>
              </w:numPr>
              <w:jc w:val="center"/>
              <w:rPr>
                <w:rFonts w:hint="eastAsia" w:ascii="宋体" w:hAnsi="宋体"/>
                <w:color w:val="auto"/>
                <w:kern w:val="2"/>
                <w:sz w:val="30"/>
                <w:szCs w:val="30"/>
                <w:vertAlign w:val="baseline"/>
                <w:lang w:val="en-US" w:eastAsia="zh-CN" w:bidi="ar-SA"/>
              </w:rPr>
            </w:pPr>
          </w:p>
        </w:tc>
      </w:tr>
      <w:tr w14:paraId="66296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pct"/>
            <w:vMerge w:val="restart"/>
            <w:vAlign w:val="center"/>
          </w:tcPr>
          <w:p w14:paraId="52693C4D">
            <w:pPr>
              <w:pStyle w:val="9"/>
              <w:numPr>
                <w:ilvl w:val="0"/>
                <w:numId w:val="0"/>
              </w:numPr>
              <w:jc w:val="center"/>
              <w:rPr>
                <w:rFonts w:hint="eastAsia" w:ascii="宋体" w:hAnsi="宋体"/>
                <w:color w:val="auto"/>
                <w:kern w:val="2"/>
                <w:sz w:val="28"/>
                <w:szCs w:val="28"/>
                <w:vertAlign w:val="baseline"/>
                <w:lang w:val="en-US" w:eastAsia="zh-CN" w:bidi="ar-SA"/>
              </w:rPr>
            </w:pPr>
            <w:r>
              <w:rPr>
                <w:rFonts w:hint="eastAsia" w:ascii="宋体" w:hAnsi="宋体"/>
                <w:color w:val="auto"/>
                <w:kern w:val="2"/>
                <w:sz w:val="28"/>
                <w:szCs w:val="28"/>
                <w:vertAlign w:val="baseline"/>
                <w:lang w:val="en-US" w:eastAsia="zh-CN" w:bidi="ar-SA"/>
              </w:rPr>
              <w:t>合计金额（元）</w:t>
            </w:r>
          </w:p>
        </w:tc>
        <w:tc>
          <w:tcPr>
            <w:tcW w:w="1779" w:type="pct"/>
            <w:vAlign w:val="center"/>
          </w:tcPr>
          <w:p w14:paraId="7B60DCD8">
            <w:pPr>
              <w:pStyle w:val="9"/>
              <w:numPr>
                <w:ilvl w:val="0"/>
                <w:numId w:val="0"/>
              </w:numPr>
              <w:jc w:val="center"/>
              <w:rPr>
                <w:rFonts w:hint="eastAsia" w:ascii="宋体" w:hAnsi="宋体"/>
                <w:color w:val="auto"/>
                <w:kern w:val="2"/>
                <w:sz w:val="28"/>
                <w:szCs w:val="28"/>
                <w:vertAlign w:val="baseline"/>
                <w:lang w:val="en-US" w:eastAsia="zh-CN" w:bidi="ar-SA"/>
              </w:rPr>
            </w:pPr>
            <w:r>
              <w:rPr>
                <w:rFonts w:hint="eastAsia" w:ascii="宋体" w:hAnsi="宋体"/>
                <w:color w:val="auto"/>
                <w:kern w:val="2"/>
                <w:sz w:val="28"/>
                <w:szCs w:val="28"/>
                <w:vertAlign w:val="baseline"/>
                <w:lang w:val="en-US" w:eastAsia="zh-CN" w:bidi="ar-SA"/>
              </w:rPr>
              <w:t>小写</w:t>
            </w:r>
          </w:p>
        </w:tc>
        <w:tc>
          <w:tcPr>
            <w:tcW w:w="2524" w:type="pct"/>
            <w:gridSpan w:val="2"/>
            <w:vAlign w:val="center"/>
          </w:tcPr>
          <w:p w14:paraId="17A0BB21">
            <w:pPr>
              <w:pStyle w:val="9"/>
              <w:numPr>
                <w:ilvl w:val="0"/>
                <w:numId w:val="0"/>
              </w:numPr>
              <w:jc w:val="center"/>
              <w:rPr>
                <w:rFonts w:ascii="宋体" w:hAnsi="宋体"/>
                <w:color w:val="auto"/>
                <w:kern w:val="2"/>
                <w:sz w:val="28"/>
                <w:szCs w:val="28"/>
                <w:vertAlign w:val="baseline"/>
                <w:lang w:val="en-US" w:eastAsia="zh-CN" w:bidi="ar-SA"/>
              </w:rPr>
            </w:pPr>
          </w:p>
        </w:tc>
      </w:tr>
      <w:tr w14:paraId="26542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pct"/>
            <w:vMerge w:val="continue"/>
            <w:vAlign w:val="center"/>
          </w:tcPr>
          <w:p w14:paraId="0A21A3A5">
            <w:pPr>
              <w:pStyle w:val="9"/>
              <w:numPr>
                <w:ilvl w:val="0"/>
                <w:numId w:val="0"/>
              </w:numPr>
              <w:jc w:val="center"/>
              <w:rPr>
                <w:rFonts w:ascii="宋体" w:hAnsi="宋体"/>
                <w:color w:val="auto"/>
                <w:kern w:val="2"/>
                <w:sz w:val="28"/>
                <w:szCs w:val="28"/>
                <w:vertAlign w:val="baseline"/>
                <w:lang w:val="en-US" w:eastAsia="zh-CN" w:bidi="ar-SA"/>
              </w:rPr>
            </w:pPr>
          </w:p>
        </w:tc>
        <w:tc>
          <w:tcPr>
            <w:tcW w:w="1779" w:type="pct"/>
            <w:vAlign w:val="center"/>
          </w:tcPr>
          <w:p w14:paraId="4360000D">
            <w:pPr>
              <w:pStyle w:val="9"/>
              <w:numPr>
                <w:ilvl w:val="0"/>
                <w:numId w:val="0"/>
              </w:numPr>
              <w:jc w:val="center"/>
              <w:rPr>
                <w:rFonts w:hint="eastAsia" w:ascii="宋体" w:hAnsi="宋体"/>
                <w:color w:val="auto"/>
                <w:kern w:val="2"/>
                <w:sz w:val="28"/>
                <w:szCs w:val="28"/>
                <w:vertAlign w:val="baseline"/>
                <w:lang w:val="en-US" w:eastAsia="zh-CN" w:bidi="ar-SA"/>
              </w:rPr>
            </w:pPr>
            <w:r>
              <w:rPr>
                <w:rFonts w:hint="eastAsia" w:ascii="宋体" w:hAnsi="宋体"/>
                <w:color w:val="auto"/>
                <w:kern w:val="2"/>
                <w:sz w:val="28"/>
                <w:szCs w:val="28"/>
                <w:vertAlign w:val="baseline"/>
                <w:lang w:val="en-US" w:eastAsia="zh-CN" w:bidi="ar-SA"/>
              </w:rPr>
              <w:t>大写</w:t>
            </w:r>
          </w:p>
        </w:tc>
        <w:tc>
          <w:tcPr>
            <w:tcW w:w="2524" w:type="pct"/>
            <w:gridSpan w:val="2"/>
            <w:vAlign w:val="center"/>
          </w:tcPr>
          <w:p w14:paraId="3D0151F3">
            <w:pPr>
              <w:pStyle w:val="9"/>
              <w:numPr>
                <w:ilvl w:val="0"/>
                <w:numId w:val="0"/>
              </w:numPr>
              <w:jc w:val="center"/>
              <w:rPr>
                <w:rFonts w:ascii="宋体" w:hAnsi="宋体"/>
                <w:color w:val="auto"/>
                <w:kern w:val="2"/>
                <w:sz w:val="28"/>
                <w:szCs w:val="28"/>
                <w:vertAlign w:val="baseline"/>
                <w:lang w:val="en-US" w:eastAsia="zh-CN" w:bidi="ar-SA"/>
              </w:rPr>
            </w:pPr>
          </w:p>
        </w:tc>
      </w:tr>
    </w:tbl>
    <w:p w14:paraId="7E162E01">
      <w:pPr>
        <w:pStyle w:val="9"/>
        <w:numPr>
          <w:ilvl w:val="0"/>
          <w:numId w:val="0"/>
        </w:numPr>
        <w:ind w:firstLine="560" w:firstLineChars="200"/>
        <w:rPr>
          <w:rFonts w:hint="eastAsia" w:ascii="宋体" w:hAnsi="宋体"/>
          <w:color w:val="auto"/>
          <w:sz w:val="28"/>
          <w:szCs w:val="28"/>
          <w:lang w:val="en-US" w:eastAsia="zh-CN"/>
        </w:rPr>
      </w:pPr>
      <w:r>
        <w:rPr>
          <w:rFonts w:hint="eastAsia" w:ascii="宋体" w:hAnsi="宋体"/>
          <w:color w:val="auto"/>
          <w:sz w:val="28"/>
          <w:szCs w:val="28"/>
          <w:lang w:val="en-US" w:eastAsia="zh-CN"/>
        </w:rPr>
        <w:t>询价须知：</w:t>
      </w:r>
    </w:p>
    <w:p w14:paraId="3054669A">
      <w:pPr>
        <w:pStyle w:val="9"/>
        <w:numPr>
          <w:ilvl w:val="0"/>
          <w:numId w:val="0"/>
        </w:numPr>
        <w:spacing w:line="360" w:lineRule="auto"/>
        <w:ind w:firstLine="480" w:firstLineChars="200"/>
        <w:rPr>
          <w:rFonts w:hint="eastAsia" w:ascii="宋体" w:hAnsi="宋体"/>
          <w:color w:val="auto"/>
          <w:kern w:val="2"/>
          <w:sz w:val="24"/>
          <w:szCs w:val="24"/>
          <w:lang w:val="en-US" w:eastAsia="zh-CN" w:bidi="ar-SA"/>
        </w:rPr>
      </w:pPr>
      <w:r>
        <w:rPr>
          <w:rFonts w:hint="eastAsia" w:ascii="宋体" w:hAnsi="宋体"/>
          <w:color w:val="auto"/>
          <w:kern w:val="2"/>
          <w:sz w:val="24"/>
          <w:szCs w:val="24"/>
          <w:lang w:val="en-US" w:eastAsia="zh-CN" w:bidi="ar-SA"/>
        </w:rPr>
        <w:t>合计报价上限为</w:t>
      </w:r>
      <w:r>
        <w:rPr>
          <w:rFonts w:hint="eastAsia" w:ascii="宋体" w:hAnsi="宋体"/>
          <w:b/>
          <w:bCs/>
          <w:color w:val="auto"/>
          <w:kern w:val="2"/>
          <w:sz w:val="30"/>
          <w:szCs w:val="30"/>
          <w:lang w:val="en-US" w:eastAsia="zh-CN" w:bidi="ar-SA"/>
        </w:rPr>
        <w:t xml:space="preserve"> 8.8万元(捌万捌仟元整)</w:t>
      </w:r>
    </w:p>
    <w:p w14:paraId="52FC489D">
      <w:pPr>
        <w:pStyle w:val="9"/>
        <w:numPr>
          <w:ilvl w:val="0"/>
          <w:numId w:val="0"/>
        </w:numPr>
        <w:ind w:firstLine="560" w:firstLineChars="200"/>
        <w:rPr>
          <w:rFonts w:hint="eastAsia" w:ascii="宋体" w:hAnsi="宋体"/>
          <w:color w:val="auto"/>
          <w:kern w:val="2"/>
          <w:sz w:val="28"/>
          <w:szCs w:val="28"/>
          <w:lang w:val="en-US" w:eastAsia="zh-CN" w:bidi="ar-SA"/>
        </w:rPr>
      </w:pPr>
    </w:p>
    <w:p w14:paraId="3BA9FDDA">
      <w:pPr>
        <w:pStyle w:val="9"/>
        <w:numPr>
          <w:ilvl w:val="0"/>
          <w:numId w:val="0"/>
        </w:numPr>
        <w:ind w:firstLine="560" w:firstLineChars="200"/>
        <w:rPr>
          <w:rFonts w:hint="eastAsia" w:ascii="黑体" w:hAnsi="黑体" w:eastAsia="黑体"/>
          <w:color w:val="auto"/>
          <w:kern w:val="2"/>
          <w:sz w:val="28"/>
          <w:szCs w:val="28"/>
          <w:lang w:val="en-US" w:eastAsia="zh-CN" w:bidi="ar-SA"/>
        </w:rPr>
      </w:pPr>
    </w:p>
    <w:p w14:paraId="336660B8">
      <w:pPr>
        <w:pStyle w:val="9"/>
        <w:numPr>
          <w:ilvl w:val="0"/>
          <w:numId w:val="0"/>
        </w:numPr>
        <w:ind w:firstLine="560" w:firstLineChars="200"/>
        <w:rPr>
          <w:rFonts w:hint="eastAsia" w:ascii="黑体" w:hAnsi="黑体" w:eastAsia="黑体"/>
          <w:color w:val="auto"/>
          <w:kern w:val="2"/>
          <w:sz w:val="28"/>
          <w:szCs w:val="28"/>
          <w:lang w:val="en-US" w:eastAsia="zh-CN" w:bidi="ar-SA"/>
        </w:rPr>
      </w:pPr>
      <w:r>
        <w:rPr>
          <w:rFonts w:hint="eastAsia" w:ascii="黑体" w:hAnsi="黑体" w:eastAsia="黑体"/>
          <w:color w:val="auto"/>
          <w:kern w:val="2"/>
          <w:sz w:val="28"/>
          <w:szCs w:val="28"/>
          <w:lang w:val="en-US" w:eastAsia="zh-CN" w:bidi="ar-SA"/>
        </w:rPr>
        <w:t>报价单位（盖章）：</w:t>
      </w:r>
    </w:p>
    <w:p w14:paraId="34B164D1">
      <w:pPr>
        <w:pStyle w:val="9"/>
        <w:numPr>
          <w:ilvl w:val="0"/>
          <w:numId w:val="0"/>
        </w:numPr>
        <w:ind w:firstLine="560" w:firstLineChars="200"/>
        <w:rPr>
          <w:rFonts w:hint="eastAsia" w:ascii="黑体" w:hAnsi="黑体" w:eastAsia="黑体"/>
          <w:color w:val="auto"/>
          <w:kern w:val="2"/>
          <w:sz w:val="28"/>
          <w:szCs w:val="28"/>
          <w:lang w:val="en-US" w:eastAsia="zh-CN" w:bidi="ar-SA"/>
        </w:rPr>
      </w:pPr>
      <w:r>
        <w:rPr>
          <w:rFonts w:hint="eastAsia" w:ascii="黑体" w:hAnsi="黑体" w:eastAsia="黑体"/>
          <w:color w:val="auto"/>
          <w:kern w:val="2"/>
          <w:sz w:val="28"/>
          <w:szCs w:val="28"/>
          <w:lang w:val="en-US" w:eastAsia="zh-CN" w:bidi="ar-SA"/>
        </w:rPr>
        <w:t>联系人及号码：</w:t>
      </w:r>
    </w:p>
    <w:sectPr>
      <w:pgSz w:w="11906" w:h="16838"/>
      <w:pgMar w:top="1143" w:right="1134" w:bottom="113"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9080CA"/>
    <w:multiLevelType w:val="singleLevel"/>
    <w:tmpl w:val="479080C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xZDhkNmRmODYyZGI1YTQ4YjA3MzE2NzA5NzM0MDMifQ=="/>
  </w:docVars>
  <w:rsids>
    <w:rsidRoot w:val="00000000"/>
    <w:rsid w:val="013A1240"/>
    <w:rsid w:val="023A4BFB"/>
    <w:rsid w:val="02A96476"/>
    <w:rsid w:val="034033E2"/>
    <w:rsid w:val="0506170D"/>
    <w:rsid w:val="05134BF2"/>
    <w:rsid w:val="05D11D1B"/>
    <w:rsid w:val="066B5CCB"/>
    <w:rsid w:val="07E07FF3"/>
    <w:rsid w:val="0D091D9A"/>
    <w:rsid w:val="0F32467D"/>
    <w:rsid w:val="0F922DFC"/>
    <w:rsid w:val="10096778"/>
    <w:rsid w:val="13BC1A2D"/>
    <w:rsid w:val="16EF72F9"/>
    <w:rsid w:val="19FD4A34"/>
    <w:rsid w:val="1A55661F"/>
    <w:rsid w:val="1E146BA1"/>
    <w:rsid w:val="1E156E9F"/>
    <w:rsid w:val="1E162569"/>
    <w:rsid w:val="1EA8163E"/>
    <w:rsid w:val="204A02A8"/>
    <w:rsid w:val="21BE0F4D"/>
    <w:rsid w:val="22E04EF3"/>
    <w:rsid w:val="24FD1D8D"/>
    <w:rsid w:val="26AD333E"/>
    <w:rsid w:val="28700291"/>
    <w:rsid w:val="28EC0D6E"/>
    <w:rsid w:val="2B1C4F36"/>
    <w:rsid w:val="2BB1742D"/>
    <w:rsid w:val="2BE53C55"/>
    <w:rsid w:val="2E2C723F"/>
    <w:rsid w:val="33BE2200"/>
    <w:rsid w:val="35BB6AAC"/>
    <w:rsid w:val="369754C7"/>
    <w:rsid w:val="37D57725"/>
    <w:rsid w:val="39E979AB"/>
    <w:rsid w:val="3A2B2AA0"/>
    <w:rsid w:val="3BB82A02"/>
    <w:rsid w:val="4165766D"/>
    <w:rsid w:val="42770F78"/>
    <w:rsid w:val="42A81132"/>
    <w:rsid w:val="459E681C"/>
    <w:rsid w:val="46B02CAB"/>
    <w:rsid w:val="47961EA1"/>
    <w:rsid w:val="48052E69"/>
    <w:rsid w:val="49211C3E"/>
    <w:rsid w:val="4944272D"/>
    <w:rsid w:val="498B21B5"/>
    <w:rsid w:val="4B4A7103"/>
    <w:rsid w:val="4C495EC4"/>
    <w:rsid w:val="4D0F7FFF"/>
    <w:rsid w:val="4FFF2FD6"/>
    <w:rsid w:val="547126FE"/>
    <w:rsid w:val="54C65448"/>
    <w:rsid w:val="55645E58"/>
    <w:rsid w:val="56460CB2"/>
    <w:rsid w:val="59940314"/>
    <w:rsid w:val="5A985AD8"/>
    <w:rsid w:val="5BFE5E0F"/>
    <w:rsid w:val="5F893C41"/>
    <w:rsid w:val="5F9745B0"/>
    <w:rsid w:val="610C68D8"/>
    <w:rsid w:val="62E95123"/>
    <w:rsid w:val="62F36A52"/>
    <w:rsid w:val="63E60941"/>
    <w:rsid w:val="64F75F6B"/>
    <w:rsid w:val="66486604"/>
    <w:rsid w:val="69653029"/>
    <w:rsid w:val="69A71894"/>
    <w:rsid w:val="6B8974A3"/>
    <w:rsid w:val="6D0D1A0E"/>
    <w:rsid w:val="6D715303"/>
    <w:rsid w:val="6F831EB8"/>
    <w:rsid w:val="70BC582D"/>
    <w:rsid w:val="740C6EC3"/>
    <w:rsid w:val="74464FA3"/>
    <w:rsid w:val="7766301F"/>
    <w:rsid w:val="77A25449"/>
    <w:rsid w:val="7BA13AA1"/>
    <w:rsid w:val="7DE06CCB"/>
    <w:rsid w:val="7ED60FB1"/>
    <w:rsid w:val="7EF376C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7"/>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autoRedefine/>
    <w:qFormat/>
    <w:uiPriority w:val="0"/>
    <w:pPr>
      <w:spacing w:after="120" w:afterLines="0" w:afterAutospacing="0"/>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customStyle="1" w:styleId="7">
    <w:name w:val="默认段落字体1"/>
    <w:link w:val="1"/>
    <w:semiHidden/>
    <w:qFormat/>
    <w:uiPriority w:val="0"/>
  </w:style>
  <w:style w:type="table" w:customStyle="1" w:styleId="8">
    <w:name w:val="普通表格1"/>
    <w:semiHidden/>
    <w:qFormat/>
    <w:uiPriority w:val="0"/>
  </w:style>
  <w:style w:type="paragraph" w:customStyle="1" w:styleId="9">
    <w:name w:val="正文文本1"/>
    <w:basedOn w:val="1"/>
    <w:qFormat/>
    <w:uiPriority w:val="0"/>
    <w:pPr>
      <w:spacing w:after="120"/>
    </w:pPr>
    <w:rPr>
      <w:rFonts w:ascii="Times New Roman" w:hAnsi="Times New Roman"/>
      <w:szCs w:val="20"/>
    </w:rPr>
  </w:style>
  <w:style w:type="paragraph" w:customStyle="1" w:styleId="10">
    <w:name w:val="普通(网站)1"/>
    <w:basedOn w:val="1"/>
    <w:qFormat/>
    <w:uiPriority w:val="0"/>
    <w:pPr>
      <w:spacing w:before="100" w:beforeAutospacing="1" w:after="100" w:afterAutospacing="1"/>
      <w:ind w:left="0" w:right="0"/>
      <w:jc w:val="left"/>
    </w:pPr>
    <w:rPr>
      <w:kern w:val="0"/>
      <w:sz w:val="24"/>
      <w:lang w:val="en-US" w:eastAsia="zh-CN" w:bidi="ar"/>
    </w:rPr>
  </w:style>
  <w:style w:type="paragraph" w:customStyle="1" w:styleId="11">
    <w:name w:val="正文首行缩进1"/>
    <w:basedOn w:val="1"/>
    <w:qFormat/>
    <w:uiPriority w:val="0"/>
    <w:pPr>
      <w:spacing w:after="0"/>
      <w:ind w:firstLine="720"/>
      <w:jc w:val="both"/>
    </w:pPr>
    <w:rPr>
      <w:rFonts w:ascii="Times New Roman" w:hAnsi="Times New Roman" w:eastAsia="仿宋_GB2312"/>
      <w:sz w:val="24"/>
      <w:szCs w:val="20"/>
    </w:rPr>
  </w:style>
  <w:style w:type="table" w:customStyle="1" w:styleId="12">
    <w:name w:val="网格型1"/>
    <w:basedOn w:val="8"/>
    <w:qFormat/>
    <w:uiPriority w:val="0"/>
    <w:pPr>
      <w:widowControl w:val="0"/>
      <w:jc w:val="both"/>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790</Words>
  <Characters>838</Characters>
  <Lines>1</Lines>
  <Paragraphs>1</Paragraphs>
  <TotalTime>4</TotalTime>
  <ScaleCrop>false</ScaleCrop>
  <LinksUpToDate>false</LinksUpToDate>
  <CharactersWithSpaces>849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2024-10-21T02:12:00Z</dcterms:created>
  <dc:creator>宋朱缘@朱宋琦 妈妈</dc:creator>
  <cp:lastModifiedBy>宋朱缘@朱宋琦 妈妈</cp:lastModifiedBy>
  <cp:lastPrinted>2026-03-04T06:48:00Z</cp:lastPrinted>
  <dcterms:modified xsi:type="dcterms:W3CDTF">2026-07-13T06:36:09Z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F0E06DD7D1554344B04FA5AC8C8C3908_13</vt:lpwstr>
  </property>
  <property fmtid="{D5CDD505-2E9C-101B-9397-08002B2CF9AE}" pid="4" name="KSOTemplateDocerSaveRecord">
    <vt:lpwstr>eyJoZGlkIjoiMDRhYmU0NGFiNzgxYWVhM2Y0Mzk1MTAwY2NlNzMyYmUiLCJ1c2VySWQiOiI5MTk1NjQxMDYifQ==</vt:lpwstr>
  </property>
</Properties>
</file>